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РУКОВОДСТВО РАЗРАБОТЧИКА</w:t>
      </w:r>
    </w:p>
    <w:p>
      <w:pPr>
        <w:jc w:val="center"/>
      </w:pPr>
      <w:r>
        <w:rPr>
          <w:b/>
          <w:sz w:val="30"/>
        </w:rPr>
        <w:t>Программное обеспечение стенда тестирования и калибровки AIM</w:t>
      </w:r>
    </w:p>
    <w:p>
      <w:pPr>
        <w:pStyle w:val="Heading1"/>
      </w:pPr>
      <w:r>
        <w:t>1. Назначение программного обеспечения</w:t>
      </w:r>
    </w:p>
    <w:p>
      <w:r>
        <w:t>Программа автоматизирует подготовку стенда, идентификацию модулей AIM, работу с EEPROM, проверку калибровочных коэффициентов, тестирование и калибровку. Архитектура в текущей версии преимущественно процедурная: main.py управляет жизненным циклом, stand.py подготавливает оборудование и данные модуля, а специализированные модули measurements выполняют измерительные сценарии.</w:t>
      </w:r>
    </w:p>
    <w:p>
      <w:pPr>
        <w:pStyle w:val="Heading1"/>
      </w:pPr>
      <w:r>
        <w:t>2. Общая архитектура</w:t>
      </w:r>
    </w:p>
    <w:p>
      <w:r>
        <w:t>Основной принцип программы — передача общего словаря context между этапами. В context хранятся параметры текущего AIM, ссылки на драйверы приборов, объект CTD-1620, журнал и имя файла отчёта. Благодаря этому функции тестирования и калибровки получают единый набор зависимостей, однако разработчик должен учитывать, что ключи словаря фактически являются неявным интерфейсом между модулями.</w:t>
      </w:r>
    </w:p>
    <w:p>
      <w:pPr>
        <w:pStyle w:val="Heading1"/>
      </w:pPr>
      <w:r>
        <w:t>3. Логический поток выполнения</w:t>
      </w:r>
    </w:p>
    <w:p>
      <w:pPr>
        <w:pStyle w:val="ListNumber"/>
      </w:pPr>
      <w:r>
        <w:t>main() создаёт объекты Agilent34401A и TGA1240 и задаёт начальные режимы приборов.</w:t>
      </w:r>
    </w:p>
    <w:p>
      <w:pPr>
        <w:pStyle w:val="ListNumber"/>
      </w:pPr>
      <w:r>
        <w:t>PrepareStand() выполняет считывание маркировки, подключение CTD-1620 и подготовку информации о модуле.</w:t>
      </w:r>
    </w:p>
    <w:p>
      <w:pPr>
        <w:pStyle w:val="ListNumber"/>
      </w:pPr>
      <w:r>
        <w:t>PrepareModuleInfo() формирует параметры установленной платы, журнал и имя файлов.</w:t>
      </w:r>
    </w:p>
    <w:p>
      <w:pPr>
        <w:pStyle w:val="ListNumber"/>
      </w:pPr>
      <w:r>
        <w:t>PrepareStand() собирает данные и зависимости в context.</w:t>
      </w:r>
    </w:p>
    <w:p>
      <w:pPr>
        <w:pStyle w:val="ListNumber"/>
      </w:pPr>
      <w:r>
        <w:t>processModule() вызывает GetCalibrationInfoAIM() и анализирует состояние калибровки.</w:t>
      </w:r>
    </w:p>
    <w:p>
      <w:pPr>
        <w:pStyle w:val="ListNumber"/>
      </w:pPr>
      <w:r>
        <w:t>При отсутствии калибровки запускается RunCalibrationAIM(), а после успешного результата — RunTestAIM().</w:t>
      </w:r>
    </w:p>
    <w:p>
      <w:pPr>
        <w:pStyle w:val="ListNumber"/>
      </w:pPr>
      <w:r>
        <w:t>После подготовки оператор получает меню: тест, калибровка, смена модуля или выход.</w:t>
      </w:r>
    </w:p>
    <w:p>
      <w:pPr>
        <w:pStyle w:val="ListNumber"/>
      </w:pPr>
      <w:r>
        <w:t>При смене модуля главный цикл повторяется; тип предыдущего модуля сохраняется для контроля серии.</w:t>
      </w:r>
    </w:p>
    <w:p>
      <w:pPr>
        <w:pStyle w:val="Heading1"/>
      </w:pPr>
      <w:r>
        <w:t>4. Основные модули и ответственность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Модуль</w:t>
            </w:r>
          </w:p>
        </w:tc>
        <w:tc>
          <w:tcPr>
            <w:tcW w:type="dxa" w:w="3324"/>
          </w:tcPr>
          <w:p>
            <w:r>
              <w:t>Ответственность</w:t>
            </w:r>
          </w:p>
        </w:tc>
        <w:tc>
          <w:tcPr>
            <w:tcW w:type="dxa" w:w="3324"/>
          </w:tcPr>
          <w:p>
            <w:r>
              <w:t>Ключевые элементы</w:t>
            </w:r>
          </w:p>
        </w:tc>
      </w:tr>
      <w:tr>
        <w:tc>
          <w:tcPr>
            <w:tcW w:type="dxa" w:w="3324"/>
          </w:tcPr>
          <w:p>
            <w:r>
              <w:t>main.py</w:t>
            </w:r>
          </w:p>
        </w:tc>
        <w:tc>
          <w:tcPr>
            <w:tcW w:type="dxa" w:w="3324"/>
          </w:tcPr>
          <w:p>
            <w:r>
              <w:t>Точка входа и управление сценарием</w:t>
            </w:r>
          </w:p>
        </w:tc>
        <w:tc>
          <w:tcPr>
            <w:tcW w:type="dxa" w:w="3324"/>
          </w:tcPr>
          <w:p>
            <w:r>
              <w:t>main, processModule, moduleMenu, printMainMenu</w:t>
            </w:r>
          </w:p>
        </w:tc>
      </w:tr>
      <w:tr>
        <w:tc>
          <w:tcPr>
            <w:tcW w:type="dxa" w:w="3324"/>
          </w:tcPr>
          <w:p>
            <w:r>
              <w:t>stand.py</w:t>
            </w:r>
          </w:p>
        </w:tc>
        <w:tc>
          <w:tcPr>
            <w:tcW w:type="dxa" w:w="3324"/>
          </w:tcPr>
          <w:p>
            <w:r>
              <w:t>Подготовка стенда и текущего AIM</w:t>
            </w:r>
          </w:p>
        </w:tc>
        <w:tc>
          <w:tcPr>
            <w:tcW w:type="dxa" w:w="3324"/>
          </w:tcPr>
          <w:p>
            <w:r>
              <w:t>PrepareStand</w:t>
            </w:r>
          </w:p>
        </w:tc>
      </w:tr>
      <w:tr>
        <w:tc>
          <w:tcPr>
            <w:tcW w:type="dxa" w:w="3324"/>
          </w:tcPr>
          <w:p>
            <w:r>
              <w:t>eeprom/eeprom.py</w:t>
            </w:r>
          </w:p>
        </w:tc>
        <w:tc>
          <w:tcPr>
            <w:tcW w:type="dxa" w:w="3324"/>
          </w:tcPr>
          <w:p>
            <w:r>
              <w:t>Чтение, разбор и запись EEPROM и CALB</w:t>
            </w:r>
          </w:p>
        </w:tc>
        <w:tc>
          <w:tcPr>
            <w:tcW w:type="dxa" w:w="3324"/>
          </w:tcPr>
          <w:p>
            <w:r>
              <w:t>PrepareModuleInfo, ReadCalibrate, WriteCalibrate и функции разбора</w:t>
            </w:r>
          </w:p>
        </w:tc>
      </w:tr>
      <w:tr>
        <w:tc>
          <w:tcPr>
            <w:tcW w:type="dxa" w:w="3324"/>
          </w:tcPr>
          <w:p>
            <w:r>
              <w:t>measurements/runCoefAIM.py</w:t>
            </w:r>
          </w:p>
        </w:tc>
        <w:tc>
          <w:tcPr>
            <w:tcW w:type="dxa" w:w="3324"/>
          </w:tcPr>
          <w:p>
            <w:r>
              <w:t>Проверка существующей калибровки</w:t>
            </w:r>
          </w:p>
        </w:tc>
        <w:tc>
          <w:tcPr>
            <w:tcW w:type="dxa" w:w="3324"/>
          </w:tcPr>
          <w:p>
            <w:r>
              <w:t>GetCalibrationInfoAIM</w:t>
            </w:r>
          </w:p>
        </w:tc>
      </w:tr>
      <w:tr>
        <w:tc>
          <w:tcPr>
            <w:tcW w:type="dxa" w:w="3324"/>
          </w:tcPr>
          <w:p>
            <w:r>
              <w:t>measurements/runTestAIM.py</w:t>
            </w:r>
          </w:p>
        </w:tc>
        <w:tc>
          <w:tcPr>
            <w:tcW w:type="dxa" w:w="3324"/>
          </w:tcPr>
          <w:p>
            <w:r>
              <w:t>Полный функциональный тест</w:t>
            </w:r>
          </w:p>
        </w:tc>
        <w:tc>
          <w:tcPr>
            <w:tcW w:type="dxa" w:w="3324"/>
          </w:tcPr>
          <w:p>
            <w:r>
              <w:t>RunTestAIM</w:t>
            </w:r>
          </w:p>
        </w:tc>
      </w:tr>
      <w:tr>
        <w:tc>
          <w:tcPr>
            <w:tcW w:type="dxa" w:w="3324"/>
          </w:tcPr>
          <w:p>
            <w:r>
              <w:t>measurements/runCalibrationAIM.py</w:t>
            </w:r>
          </w:p>
        </w:tc>
        <w:tc>
          <w:tcPr>
            <w:tcW w:type="dxa" w:w="3324"/>
          </w:tcPr>
          <w:p>
            <w:r>
              <w:t>Расчёт и запись калибровки</w:t>
            </w:r>
          </w:p>
        </w:tc>
        <w:tc>
          <w:tcPr>
            <w:tcW w:type="dxa" w:w="3324"/>
          </w:tcPr>
          <w:p>
            <w:r>
              <w:t>RunCalibrationAIM</w:t>
            </w:r>
          </w:p>
        </w:tc>
      </w:tr>
      <w:tr>
        <w:tc>
          <w:tcPr>
            <w:tcW w:type="dxa" w:w="3324"/>
          </w:tcPr>
          <w:p>
            <w:r>
              <w:t>measurements/measure.py</w:t>
            </w:r>
          </w:p>
        </w:tc>
        <w:tc>
          <w:tcPr>
            <w:tcW w:type="dxa" w:w="3324"/>
          </w:tcPr>
          <w:p>
            <w:r>
              <w:t>Низкоуровневые измерительные процедуры</w:t>
            </w:r>
          </w:p>
        </w:tc>
        <w:tc>
          <w:tcPr>
            <w:tcW w:type="dxa" w:w="3324"/>
          </w:tcPr>
          <w:p>
            <w:r>
              <w:t>DC, AC, AUX, точки калибровки</w:t>
            </w:r>
          </w:p>
        </w:tc>
      </w:tr>
      <w:tr>
        <w:tc>
          <w:tcPr>
            <w:tcW w:type="dxa" w:w="3324"/>
          </w:tcPr>
          <w:p>
            <w:r>
              <w:t>measurements/calculate.py</w:t>
            </w:r>
          </w:p>
        </w:tc>
        <w:tc>
          <w:tcPr>
            <w:tcW w:type="dxa" w:w="3324"/>
          </w:tcPr>
          <w:p>
            <w:r>
              <w:t>Математические расчёты и допуски</w:t>
            </w:r>
          </w:p>
        </w:tc>
        <w:tc>
          <w:tcPr>
            <w:tcW w:type="dxa" w:w="3324"/>
          </w:tcPr>
          <w:p>
            <w:r>
              <w:t>CalcSafeOffsetsGen и расчёт коэффициентов</w:t>
            </w:r>
          </w:p>
        </w:tc>
      </w:tr>
      <w:tr>
        <w:tc>
          <w:tcPr>
            <w:tcW w:type="dxa" w:w="3324"/>
          </w:tcPr>
          <w:p>
            <w:r>
              <w:t>measurements/printInfo.py</w:t>
            </w:r>
          </w:p>
        </w:tc>
        <w:tc>
          <w:tcPr>
            <w:tcW w:type="dxa" w:w="3324"/>
          </w:tcPr>
          <w:p>
            <w:r>
              <w:t>Консольный вывод, таблицы и запись в лог</w:t>
            </w:r>
          </w:p>
        </w:tc>
        <w:tc>
          <w:tcPr>
            <w:tcW w:type="dxa" w:w="3324"/>
          </w:tcPr>
          <w:p>
            <w:r>
              <w:t>Print, LogBlockStart, LogBlockEnd, таблицы</w:t>
            </w:r>
          </w:p>
        </w:tc>
      </w:tr>
      <w:tr>
        <w:tc>
          <w:tcPr>
            <w:tcW w:type="dxa" w:w="3324"/>
          </w:tcPr>
          <w:p>
            <w:r>
              <w:t>tools/CTD1620.py</w:t>
            </w:r>
          </w:p>
        </w:tc>
        <w:tc>
          <w:tcPr>
            <w:tcW w:type="dxa" w:w="3324"/>
          </w:tcPr>
          <w:p>
            <w:r>
              <w:t>Интерфейс с CTD-1620</w:t>
            </w:r>
          </w:p>
        </w:tc>
        <w:tc>
          <w:tcPr>
            <w:tcW w:type="dxa" w:w="3324"/>
          </w:tcPr>
          <w:p>
            <w:r>
              <w:t>Connect, EEPROM, команды конфигурации</w:t>
            </w:r>
          </w:p>
        </w:tc>
      </w:tr>
      <w:tr>
        <w:tc>
          <w:tcPr>
            <w:tcW w:type="dxa" w:w="3324"/>
          </w:tcPr>
          <w:p>
            <w:r>
              <w:t>tools/Agilent34401A.py</w:t>
            </w:r>
          </w:p>
        </w:tc>
        <w:tc>
          <w:tcPr>
            <w:tcW w:type="dxa" w:w="3324"/>
          </w:tcPr>
          <w:p>
            <w:r>
              <w:t>Управление мультиметром по последовательному интерфейсу</w:t>
            </w:r>
          </w:p>
        </w:tc>
        <w:tc>
          <w:tcPr>
            <w:tcW w:type="dxa" w:w="3324"/>
          </w:tcPr>
          <w:p>
            <w:r>
              <w:t>SCPI, выбор канала и режима измерения</w:t>
            </w:r>
          </w:p>
        </w:tc>
      </w:tr>
      <w:tr>
        <w:tc>
          <w:tcPr>
            <w:tcW w:type="dxa" w:w="3324"/>
          </w:tcPr>
          <w:p>
            <w:r>
              <w:t>tools/TGA1240.py</w:t>
            </w:r>
          </w:p>
        </w:tc>
        <w:tc>
          <w:tcPr>
            <w:tcW w:type="dxa" w:w="3324"/>
          </w:tcPr>
          <w:p>
            <w:r>
              <w:t>Управление генератором</w:t>
            </w:r>
          </w:p>
        </w:tc>
        <w:tc>
          <w:tcPr>
            <w:tcW w:type="dxa" w:w="3324"/>
          </w:tcPr>
          <w:p>
            <w:r>
              <w:t>Настройка канала, формы сигнала и offset</w:t>
            </w:r>
          </w:p>
        </w:tc>
      </w:tr>
      <w:tr>
        <w:tc>
          <w:tcPr>
            <w:tcW w:type="dxa" w:w="3324"/>
          </w:tcPr>
          <w:p>
            <w:r>
              <w:t>scanQR/scan_markers.py</w:t>
            </w:r>
          </w:p>
        </w:tc>
        <w:tc>
          <w:tcPr>
            <w:tcW w:type="dxa" w:w="3324"/>
          </w:tcPr>
          <w:p>
            <w:r>
              <w:t>Идентификация изделия</w:t>
            </w:r>
          </w:p>
        </w:tc>
        <w:tc>
          <w:tcPr>
            <w:tcW w:type="dxa" w:w="3324"/>
          </w:tcPr>
          <w:p>
            <w:r>
              <w:t>ScanDataMatrix</w:t>
            </w:r>
          </w:p>
        </w:tc>
      </w:tr>
    </w:tbl>
    <w:p>
      <w:pPr>
        <w:pStyle w:val="Heading1"/>
      </w:pPr>
      <w:r>
        <w:t>5. Словарь context</w:t>
      </w:r>
    </w:p>
    <w:p>
      <w:r>
        <w:t>context — центральный объект передачи состояния между этапами. Основные ключи: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Ключ</w:t>
            </w:r>
          </w:p>
        </w:tc>
        <w:tc>
          <w:tcPr>
            <w:tcW w:type="dxa" w:w="4986"/>
          </w:tcPr>
          <w:p>
            <w:r>
              <w:t>Назначение</w:t>
            </w:r>
          </w:p>
        </w:tc>
      </w:tr>
      <w:tr>
        <w:tc>
          <w:tcPr>
            <w:tcW w:type="dxa" w:w="4986"/>
          </w:tcPr>
          <w:p>
            <w:r>
              <w:t>AIM</w:t>
            </w:r>
          </w:p>
        </w:tc>
        <w:tc>
          <w:tcPr>
            <w:tcW w:type="dxa" w:w="4986"/>
          </w:tcPr>
          <w:p>
            <w:r>
              <w:t>Данные, считанные с маркировки.</w:t>
            </w:r>
          </w:p>
        </w:tc>
      </w:tr>
      <w:tr>
        <w:tc>
          <w:tcPr>
            <w:tcW w:type="dxa" w:w="4986"/>
          </w:tcPr>
          <w:p>
            <w:r>
              <w:t>moduleInfo</w:t>
            </w:r>
          </w:p>
        </w:tc>
        <w:tc>
          <w:tcPr>
            <w:tcW w:type="dxa" w:w="4986"/>
          </w:tcPr>
          <w:p>
            <w:r>
              <w:t>Сырые/подготовленные данные EEPROM.</w:t>
            </w:r>
          </w:p>
        </w:tc>
      </w:tr>
      <w:tr>
        <w:tc>
          <w:tcPr>
            <w:tcW w:type="dxa" w:w="4986"/>
          </w:tcPr>
          <w:p>
            <w:r>
              <w:t>moduleType / moduleName</w:t>
            </w:r>
          </w:p>
        </w:tc>
        <w:tc>
          <w:tcPr>
            <w:tcW w:type="dxa" w:w="4986"/>
          </w:tcPr>
          <w:p>
            <w:r>
              <w:t>Тип и обозначение модуля.</w:t>
            </w:r>
          </w:p>
        </w:tc>
      </w:tr>
      <w:tr>
        <w:tc>
          <w:tcPr>
            <w:tcW w:type="dxa" w:w="4986"/>
          </w:tcPr>
          <w:p>
            <w:r>
              <w:t>moduleDNP / moduleDate</w:t>
            </w:r>
          </w:p>
        </w:tc>
        <w:tc>
          <w:tcPr>
            <w:tcW w:type="dxa" w:w="4986"/>
          </w:tcPr>
          <w:p>
            <w:r>
              <w:t>DNP и дата.</w:t>
            </w:r>
          </w:p>
        </w:tc>
      </w:tr>
      <w:tr>
        <w:tc>
          <w:tcPr>
            <w:tcW w:type="dxa" w:w="4986"/>
          </w:tcPr>
          <w:p>
            <w:r>
              <w:t>moduleChannels</w:t>
            </w:r>
          </w:p>
        </w:tc>
        <w:tc>
          <w:tcPr>
            <w:tcW w:type="dxa" w:w="4986"/>
          </w:tcPr>
          <w:p>
            <w:r>
              <w:t>Количество измерительных каналов.</w:t>
            </w:r>
          </w:p>
        </w:tc>
      </w:tr>
      <w:tr>
        <w:tc>
          <w:tcPr>
            <w:tcW w:type="dxa" w:w="4986"/>
          </w:tcPr>
          <w:p>
            <w:r>
              <w:t>moduleInput</w:t>
            </w:r>
          </w:p>
        </w:tc>
        <w:tc>
          <w:tcPr>
            <w:tcW w:type="dxa" w:w="4986"/>
          </w:tcPr>
          <w:p>
            <w:r>
              <w:t>Тип входа.</w:t>
            </w:r>
          </w:p>
        </w:tc>
      </w:tr>
      <w:tr>
        <w:tc>
          <w:tcPr>
            <w:tcW w:type="dxa" w:w="4986"/>
          </w:tcPr>
          <w:p>
            <w:r>
              <w:t>moduleUMin / moduleUMax</w:t>
            </w:r>
          </w:p>
        </w:tc>
        <w:tc>
          <w:tcPr>
            <w:tcW w:type="dxa" w:w="4986"/>
          </w:tcPr>
          <w:p>
            <w:r>
              <w:t>Рабочий диапазон входного напряжения.</w:t>
            </w:r>
          </w:p>
        </w:tc>
      </w:tr>
      <w:tr>
        <w:tc>
          <w:tcPr>
            <w:tcW w:type="dxa" w:w="4986"/>
          </w:tcPr>
          <w:p>
            <w:r>
              <w:t>SlotNumber</w:t>
            </w:r>
          </w:p>
        </w:tc>
        <w:tc>
          <w:tcPr>
            <w:tcW w:type="dxa" w:w="4986"/>
          </w:tcPr>
          <w:p>
            <w:r>
              <w:t>Номер слота CTD-1620.</w:t>
            </w:r>
          </w:p>
        </w:tc>
      </w:tr>
      <w:tr>
        <w:tc>
          <w:tcPr>
            <w:tcW w:type="dxa" w:w="4986"/>
          </w:tcPr>
          <w:p>
            <w:r>
              <w:t>ctd1620</w:t>
            </w:r>
          </w:p>
        </w:tc>
        <w:tc>
          <w:tcPr>
            <w:tcW w:type="dxa" w:w="4986"/>
          </w:tcPr>
          <w:p>
            <w:r>
              <w:t>Объект драйвера CTD-1620.</w:t>
            </w:r>
          </w:p>
        </w:tc>
      </w:tr>
      <w:tr>
        <w:tc>
          <w:tcPr>
            <w:tcW w:type="dxa" w:w="4986"/>
          </w:tcPr>
          <w:p>
            <w:r>
              <w:t>agilent</w:t>
            </w:r>
          </w:p>
        </w:tc>
        <w:tc>
          <w:tcPr>
            <w:tcW w:type="dxa" w:w="4986"/>
          </w:tcPr>
          <w:p>
            <w:r>
              <w:t>Объект драйвера Agilent 34401A.</w:t>
            </w:r>
          </w:p>
        </w:tc>
      </w:tr>
      <w:tr>
        <w:tc>
          <w:tcPr>
            <w:tcW w:type="dxa" w:w="4986"/>
          </w:tcPr>
          <w:p>
            <w:r>
              <w:t>generator</w:t>
            </w:r>
          </w:p>
        </w:tc>
        <w:tc>
          <w:tcPr>
            <w:tcW w:type="dxa" w:w="4986"/>
          </w:tcPr>
          <w:p>
            <w:r>
              <w:t>Объект драйвера TGA1240.</w:t>
            </w:r>
          </w:p>
        </w:tc>
      </w:tr>
      <w:tr>
        <w:tc>
          <w:tcPr>
            <w:tcW w:type="dxa" w:w="4986"/>
          </w:tcPr>
          <w:p>
            <w:r>
              <w:t>logfile</w:t>
            </w:r>
          </w:p>
        </w:tc>
        <w:tc>
          <w:tcPr>
            <w:tcW w:type="dxa" w:w="4986"/>
          </w:tcPr>
          <w:p>
            <w:r>
              <w:t>Открытый журнал текущего изделия.</w:t>
            </w:r>
          </w:p>
        </w:tc>
      </w:tr>
      <w:tr>
        <w:tc>
          <w:tcPr>
            <w:tcW w:type="dxa" w:w="4986"/>
          </w:tcPr>
          <w:p>
            <w:r>
              <w:t>fileName</w:t>
            </w:r>
          </w:p>
        </w:tc>
        <w:tc>
          <w:tcPr>
            <w:tcW w:type="dxa" w:w="4986"/>
          </w:tcPr>
          <w:p>
            <w:r>
              <w:t>Базовое имя файлов результатов.</w:t>
            </w:r>
          </w:p>
        </w:tc>
      </w:tr>
      <w:tr>
        <w:tc>
          <w:tcPr>
            <w:tcW w:type="dxa" w:w="4986"/>
          </w:tcPr>
          <w:p>
            <w:r>
              <w:t>old_DNP</w:t>
            </w:r>
          </w:p>
        </w:tc>
        <w:tc>
          <w:tcPr>
            <w:tcW w:type="dxa" w:w="4986"/>
          </w:tcPr>
          <w:p>
            <w:r>
              <w:t>Сохранённый DNP предыдущего изделия.</w:t>
            </w:r>
          </w:p>
        </w:tc>
      </w:tr>
    </w:tbl>
    <w:p>
      <w:r>
        <w:t>Важно: добавление обязательного ключа требует проверки всех функций, принимающих context. В перспективе словарь целесообразно заменить dataclass, например StandContext.</w:t>
      </w:r>
    </w:p>
    <w:p>
      <w:pPr>
        <w:pStyle w:val="Heading1"/>
      </w:pPr>
      <w:r>
        <w:t>6. Подготовка стенда: PrepareStand</w:t>
      </w:r>
    </w:p>
    <w:p>
      <w:r>
        <w:t>PrepareStand является границей между пользовательским сценарием и измерительной частью. Функция получает уже созданные объекты Agilent и генератора, считывает маркировку AIM, предлагает оператору установить плату, создаёт и подключает CTD1620, вызывает PrepareModuleInfo и возвращает context. При рефакторинге желательно не добавлять в эту функцию сами измерительные тесты: её ответственность — только подготовка окружения.</w:t>
      </w:r>
    </w:p>
    <w:p>
      <w:pPr>
        <w:pStyle w:val="Heading1"/>
      </w:pPr>
      <w:r>
        <w:t>7. Проверка калибровки</w:t>
      </w:r>
    </w:p>
    <w:p>
      <w:r>
        <w:t>GetCalibrationInfoAIM получает необходимые параметры из context и проверяет CALB в EEPROM. Управляющий код ожидает состояния, эквивалентные NOT_FOUND, FAILED и OK. При изменении набора возвращаемых значений необходимо одновременно обновлять processModule, иначе сценарий запуска может перейти в неизвестную ветку.</w:t>
      </w:r>
    </w:p>
    <w:p>
      <w:pPr>
        <w:pStyle w:val="Heading1"/>
      </w:pPr>
      <w:r>
        <w:t>8. Тестирование: RunTestAIM</w:t>
      </w:r>
    </w:p>
    <w:p>
      <w:r>
        <w:t>Последовательность текущего полного теста:</w:t>
      </w:r>
    </w:p>
    <w:p>
      <w:pPr>
        <w:pStyle w:val="ListBullet"/>
      </w:pPr>
      <w:r>
        <w:t>расчёт безопасных уровней генератора;</w:t>
      </w:r>
    </w:p>
    <w:p>
      <w:pPr>
        <w:pStyle w:val="ListBullet"/>
      </w:pPr>
      <w:r>
        <w:t>проверка выходных линий;</w:t>
      </w:r>
    </w:p>
    <w:p>
      <w:pPr>
        <w:pStyle w:val="ListBullet"/>
      </w:pPr>
      <w:r>
        <w:t>настройка генератора и Agilent для DC;</w:t>
      </w:r>
    </w:p>
    <w:p>
      <w:pPr>
        <w:pStyle w:val="ListBullet"/>
      </w:pPr>
      <w:r>
        <w:t>DC-проверка измерительных каналов;</w:t>
      </w:r>
    </w:p>
    <w:p>
      <w:pPr>
        <w:pStyle w:val="ListBullet"/>
      </w:pPr>
      <w:r>
        <w:t>AC-проверка измерительных каналов;</w:t>
      </w:r>
    </w:p>
    <w:p>
      <w:pPr>
        <w:pStyle w:val="ListBullet"/>
      </w:pPr>
      <w:r>
        <w:t>DC-проверка AUX;</w:t>
      </w:r>
    </w:p>
    <w:p>
      <w:pPr>
        <w:pStyle w:val="ListBullet"/>
      </w:pPr>
      <w:r>
        <w:t>AC-проверка AUX;</w:t>
      </w:r>
    </w:p>
    <w:p>
      <w:pPr>
        <w:pStyle w:val="ListBullet"/>
      </w:pPr>
      <w:r>
        <w:t>формирование общего результата и отправка/обработка журнала.</w:t>
      </w:r>
    </w:p>
    <w:p>
      <w:r>
        <w:t>Общий тест считается успешным только при успешном результате всех четырёх основных измерительных проверок.</w:t>
      </w:r>
    </w:p>
    <w:p>
      <w:pPr>
        <w:pStyle w:val="Heading1"/>
      </w:pPr>
      <w:r>
        <w:t>9. Калибровка: RunCalibrationAIM</w:t>
      </w:r>
    </w:p>
    <w:p>
      <w:pPr>
        <w:pStyle w:val="ListNumber"/>
      </w:pPr>
      <w:r>
        <w:t>рассчитать безопасные верхнюю и нижнюю точки;</w:t>
      </w:r>
    </w:p>
    <w:p>
      <w:pPr>
        <w:pStyle w:val="ListNumber"/>
      </w:pPr>
      <w:r>
        <w:t>сбросить коэффициенты Gain=1 и Offset=0;</w:t>
      </w:r>
    </w:p>
    <w:p>
      <w:pPr>
        <w:pStyle w:val="ListNumber"/>
      </w:pPr>
      <w:r>
        <w:t>записать исходную калибровку;</w:t>
      </w:r>
    </w:p>
    <w:p>
      <w:pPr>
        <w:pStyle w:val="ListNumber"/>
      </w:pPr>
      <w:r>
        <w:t>измерить верхнюю точку;</w:t>
      </w:r>
    </w:p>
    <w:p>
      <w:pPr>
        <w:pStyle w:val="ListNumber"/>
      </w:pPr>
      <w:r>
        <w:t>измерить нижнюю точку;</w:t>
      </w:r>
    </w:p>
    <w:p>
      <w:pPr>
        <w:pStyle w:val="ListNumber"/>
      </w:pPr>
      <w:r>
        <w:t>рассчитать Gain и Offset для каналов;</w:t>
      </w:r>
    </w:p>
    <w:p>
      <w:pPr>
        <w:pStyle w:val="ListNumber"/>
      </w:pPr>
      <w:r>
        <w:t>записать рассчитанные коэффициенты в EEPROM;</w:t>
      </w:r>
    </w:p>
    <w:p>
      <w:pPr>
        <w:pStyle w:val="ListNumber"/>
      </w:pPr>
      <w:r>
        <w:t>вернуть итоговый результат вызывающему коду.</w:t>
      </w:r>
    </w:p>
    <w:p>
      <w:pPr>
        <w:pStyle w:val="Heading1"/>
      </w:pPr>
      <w:r>
        <w:t>10. EEPROM и данные изделия</w:t>
      </w:r>
    </w:p>
    <w:p>
      <w:r>
        <w:t>EEPROM используется для хранения паспортной информации и калибровочного блока CALB. Разработчик должен разделять операции чтения паспортных данных, их проверки относительно маркировки и операции записи калибровки. Изменение бинарного формата EEPROM требует синхронного изменения функций упаковки и распаковки и проверки совместимости с уже выпущенными изделиями.</w:t>
      </w:r>
    </w:p>
    <w:p>
      <w:pPr>
        <w:pStyle w:val="Heading1"/>
      </w:pPr>
      <w:r>
        <w:t>11. Работа с измерительным оборудованием</w:t>
      </w:r>
    </w:p>
    <w:p>
      <w:r>
        <w:t>Драйверы приборов должны инкапсулировать транспортный уровень и команды конкретного устройства. Измерительные сценарии не должны напрямую работать с serial-портом. Agilent используется как эталонный измеритель, TGA1240 — как источник сигнала, CTD-1620 — как интерфейс с проверяемым AIM и его EEPROM.</w:t>
      </w:r>
    </w:p>
    <w:p>
      <w:r>
        <w:t>Аппаратные параметры, которые сейчас фактически являются конфигурацией стенда: CTD-1620 — 10.0.0.2; Agilent — COM6; TGA1240 — COM4. Их рекомендуется вынести в отдельный конфигурационный файл.</w:t>
      </w:r>
    </w:p>
    <w:p>
      <w:pPr>
        <w:pStyle w:val="Heading1"/>
      </w:pPr>
      <w:r>
        <w:t>12. Логирование и консольный интерфейс</w:t>
      </w:r>
    </w:p>
    <w:p>
      <w:r>
        <w:t>Print(out, data, color) одновременно выводит сообщение в консоль и записывает текст в журнал. Логические этапы оформляются функциями начала и конца блока. При добавлении новых тестов следует использовать общий механизм вывода, а не создавать собственные варианты разделителей. Измерительные таблицы могут иметь ширину больше стандартного информационного блока.</w:t>
      </w:r>
    </w:p>
    <w:p>
      <w:pPr>
        <w:pStyle w:val="Heading1"/>
      </w:pPr>
      <w:r>
        <w:t>13. Обработка ошибок</w:t>
      </w:r>
    </w:p>
    <w:p>
      <w:r>
        <w:t>Верхний уровень main перехватывает KeyboardInterrupt и общие исключения. Ошибки оборудования по возможности должны возникать на уровне соответствующего драйвера и передаваться выше в понятном виде. Не рекомендуется скрывать критические ошибки через пустой except. Ошибка звукового сопровождения также не должна останавливать измерительный процесс.</w:t>
      </w:r>
    </w:p>
    <w:p>
      <w:r>
        <w:t>Отдельно следует обратить внимание на переменную logfile в блоках except/finally: если исключение возникнет до успешного создания context и присваивания logfile, обработчик сам может получить ошибку обращения к неинициализированной переменной. Рекомендуется инициализировать logfile = None до основного try и использовать безопасную функцию журналирования.</w:t>
      </w:r>
    </w:p>
    <w:p>
      <w:pPr>
        <w:pStyle w:val="Heading1"/>
      </w:pPr>
      <w:r>
        <w:t>14. Как добавить новый тип AIM</w:t>
      </w:r>
    </w:p>
    <w:p>
      <w:pPr>
        <w:pStyle w:val="ListNumber"/>
      </w:pPr>
      <w:r>
        <w:t>Добавить или проверить файл конфигурации нового типа модуля.</w:t>
      </w:r>
    </w:p>
    <w:p>
      <w:pPr>
        <w:pStyle w:val="ListNumber"/>
      </w:pPr>
      <w:r>
        <w:t>Обеспечить корректное чтение его параметров из EEPROM.</w:t>
      </w:r>
    </w:p>
    <w:p>
      <w:pPr>
        <w:pStyle w:val="ListNumber"/>
      </w:pPr>
      <w:r>
        <w:t>Добавить диапазоны UMIN/UMAX, тип входа и количество каналов.</w:t>
      </w:r>
    </w:p>
    <w:p>
      <w:pPr>
        <w:pStyle w:val="ListNumber"/>
      </w:pPr>
      <w:r>
        <w:t>Добавить специфические пороги и правила проверки выходных линий, если они отличаются.</w:t>
      </w:r>
    </w:p>
    <w:p>
      <w:pPr>
        <w:pStyle w:val="ListNumber"/>
      </w:pPr>
      <w:r>
        <w:t>Добавить эталонные параметры калибровки, если для типа используются отдельные значения.</w:t>
      </w:r>
    </w:p>
    <w:p>
      <w:pPr>
        <w:pStyle w:val="ListNumber"/>
      </w:pPr>
      <w:r>
        <w:t>Проверить CalcSafeOffsetsGen для нового диапазона.</w:t>
      </w:r>
    </w:p>
    <w:p>
      <w:pPr>
        <w:pStyle w:val="ListNumber"/>
      </w:pPr>
      <w:r>
        <w:t>Выполнить тест чтения EEPROM без калибровки.</w:t>
      </w:r>
    </w:p>
    <w:p>
      <w:pPr>
        <w:pStyle w:val="ListNumber"/>
      </w:pPr>
      <w:r>
        <w:t>Выполнить калибровку на эталонном изделии.</w:t>
      </w:r>
    </w:p>
    <w:p>
      <w:pPr>
        <w:pStyle w:val="ListNumber"/>
      </w:pPr>
      <w:r>
        <w:t>Выполнить полный DC/AC/AUX тест.</w:t>
      </w:r>
    </w:p>
    <w:p>
      <w:pPr>
        <w:pStyle w:val="ListNumber"/>
      </w:pPr>
      <w:r>
        <w:t>Зафиксировать поддержку нового типа в документации.</w:t>
      </w:r>
    </w:p>
    <w:p>
      <w:pPr>
        <w:pStyle w:val="Heading1"/>
      </w:pPr>
      <w:r>
        <w:t>15. Как добавить новый тест</w:t>
      </w:r>
    </w:p>
    <w:p>
      <w:r>
        <w:t>Новый тест рекомендуется реализовывать отдельной функцией в измерительном слое. Функция должна получать только необходимые зависимости, возвращать однозначный результат и самостоятельно не завершать приложение через quit(). Затем её результат добавляется в агрегирование RunTestAIM. Это позволяет использовать тест отдельно и упрощает автоматическое тестирование кода.</w:t>
      </w:r>
    </w:p>
    <w:p>
      <w:pPr>
        <w:pStyle w:val="Heading1"/>
      </w:pPr>
      <w:r>
        <w:t>16. Технический долг и рекомендуемое развитие</w:t>
      </w:r>
    </w:p>
    <w:p>
      <w:pPr>
        <w:pStyle w:val="ListBullet"/>
      </w:pPr>
      <w:r>
        <w:t>Заменить context dict на dataclass StandContext.</w:t>
      </w:r>
    </w:p>
    <w:p>
      <w:pPr>
        <w:pStyle w:val="ListBullet"/>
      </w:pPr>
      <w:r>
        <w:t>Создать класс Stand для владения CTD-1620, Agilent и генератором.</w:t>
      </w:r>
    </w:p>
    <w:p>
      <w:pPr>
        <w:pStyle w:val="ListBullet"/>
      </w:pPr>
      <w:r>
        <w:t>Создать класс AIMModule для паспортных параметров конкретного изделия.</w:t>
      </w:r>
    </w:p>
    <w:p>
      <w:pPr>
        <w:pStyle w:val="ListBullet"/>
      </w:pPr>
      <w:r>
        <w:t>Разделить пользовательский интерфейс, бизнес-логику измерений и драйверы оборудования.</w:t>
      </w:r>
    </w:p>
    <w:p>
      <w:pPr>
        <w:pStyle w:val="ListBullet"/>
      </w:pPr>
      <w:r>
        <w:t>Вынести IP-адреса, COM-порты, пороги и пути к конфигурациям из исходного кода.</w:t>
      </w:r>
    </w:p>
    <w:p>
      <w:pPr>
        <w:pStyle w:val="ListBullet"/>
      </w:pPr>
      <w:r>
        <w:t>Заменить wildcard-import вида import * на явные импорты.</w:t>
      </w:r>
    </w:p>
    <w:p>
      <w:pPr>
        <w:pStyle w:val="ListBullet"/>
      </w:pPr>
      <w:r>
        <w:t>Унифицировать результаты операций через bool или Enum вместо смеси строк и bool.</w:t>
      </w:r>
    </w:p>
    <w:p>
      <w:pPr>
        <w:pStyle w:val="ListBullet"/>
      </w:pPr>
      <w:r>
        <w:t>Добавить pytest-тесты для расчётных функций и работы с бинарным форматом CALB.</w:t>
      </w:r>
    </w:p>
    <w:p>
      <w:pPr>
        <w:pStyle w:val="ListBullet"/>
      </w:pPr>
      <w:r>
        <w:t>Добавить mock/fake-драйверы приборов для запуска логики без физического стенда.</w:t>
      </w:r>
    </w:p>
    <w:p>
      <w:pPr>
        <w:pStyle w:val="ListBullet"/>
      </w:pPr>
      <w:r>
        <w:t>Привести весь исходный код к UTF-8 и не хранить проект целиком в Windows-1251.</w:t>
      </w:r>
    </w:p>
    <w:p>
      <w:pPr>
        <w:pStyle w:val="Heading1"/>
      </w:pPr>
      <w:r>
        <w:t>17. Рекомендуемая целевая структура</w:t>
      </w:r>
    </w:p>
    <w:p>
      <w:r>
        <w:t>app/</w:t>
        <w:br/>
        <w:t xml:space="preserve">    main.py</w:t>
        <w:br/>
        <w:t xml:space="preserve">    controller.py</w:t>
        <w:br/>
        <w:br/>
        <w:t>domain/</w:t>
        <w:br/>
        <w:t xml:space="preserve">    aim_module.py</w:t>
        <w:br/>
        <w:t xml:space="preserve">    calibration.py</w:t>
        <w:br/>
        <w:t xml:space="preserve">    results.py</w:t>
        <w:br/>
        <w:br/>
        <w:t>stand/</w:t>
        <w:br/>
        <w:t xml:space="preserve">    stand.py</w:t>
        <w:br/>
        <w:t xml:space="preserve">    context.py</w:t>
        <w:br/>
        <w:br/>
        <w:t>instruments/</w:t>
        <w:br/>
        <w:t xml:space="preserve">    ctd1620.py</w:t>
        <w:br/>
        <w:t xml:space="preserve">    agilent34401a.py</w:t>
        <w:br/>
        <w:t xml:space="preserve">    tga1240.py</w:t>
        <w:br/>
        <w:br/>
        <w:t>services/</w:t>
        <w:br/>
        <w:t xml:space="preserve">    module_preparation.py</w:t>
        <w:br/>
        <w:t xml:space="preserve">    test_service.py</w:t>
        <w:br/>
        <w:t xml:space="preserve">    calibration_service.py</w:t>
        <w:br/>
        <w:t xml:space="preserve">    eeprom_service.py</w:t>
        <w:br/>
        <w:br/>
        <w:t>ui/</w:t>
        <w:br/>
        <w:t xml:space="preserve">    console.py</w:t>
        <w:br/>
        <w:br/>
        <w:t>tests/</w:t>
        <w:br/>
        <w:t xml:space="preserve">    test_calculate.py</w:t>
        <w:br/>
        <w:t xml:space="preserve">    test_calibration.py</w:t>
        <w:br/>
        <w:t xml:space="preserve">    test_eeprom.py</w:t>
      </w:r>
    </w:p>
    <w:p>
      <w:pPr>
        <w:pStyle w:val="Heading1"/>
      </w:pPr>
      <w:r>
        <w:t>18. Краткая карта зависимостей</w:t>
      </w:r>
    </w:p>
    <w:p>
      <w:r>
        <w:t>main.py</w:t>
        <w:br/>
        <w:t xml:space="preserve">  → PrepareStand</w:t>
        <w:br/>
        <w:t xml:space="preserve">      → ScanDataMatrix</w:t>
        <w:br/>
        <w:t xml:space="preserve">      → CTD1620</w:t>
        <w:br/>
        <w:t xml:space="preserve">      → PrepareModuleInfo</w:t>
        <w:br/>
        <w:t xml:space="preserve">          → EEPROM / конфигурация</w:t>
        <w:br/>
        <w:t xml:space="preserve">  → GetCalibrationInfoAIM</w:t>
        <w:br/>
        <w:t xml:space="preserve">      → чтение CALB</w:t>
        <w:br/>
        <w:t xml:space="preserve">  → RunCalibrationAIM</w:t>
        <w:br/>
        <w:t xml:space="preserve">      → measure + calculate + EEPROM</w:t>
        <w:br/>
        <w:t xml:space="preserve">  → RunTestAIM</w:t>
        <w:br/>
        <w:t xml:space="preserve">      → measure + calculate + post_report</w:t>
        <w:br/>
        <w:t xml:space="preserve">  → moduleMenu</w:t>
      </w:r>
    </w:p>
    <w:p>
      <w:pPr>
        <w:pStyle w:val="Heading1"/>
      </w:pPr>
      <w:r>
        <w:t>19. Примечания для сопровождающего разработчика</w:t>
      </w:r>
    </w:p>
    <w:p>
      <w:r>
        <w:t>Перед изменением измерительного алгоритма необходимо определить, относится изменение к аппаратному драйверу, общей измерительной процедуре или сценарию конкретного теста. Не следует помещать SCPI-команды непосредственно в main.py или RunTestAIM, а обработку меню — в драйверы приборов. Основная цель дальнейшего рефакторинга — сделать зависимости явными, сохранив рабочий алгоритм стенда без одномоментной полной переписи проекта.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