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113FC8" w14:textId="77777777" w:rsidR="002E6036" w:rsidRPr="003726B6" w:rsidRDefault="00000000" w:rsidP="00CC5401">
      <w:pPr>
        <w:spacing w:line="360" w:lineRule="auto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b/>
          <w:color w:val="000000" w:themeColor="text1"/>
          <w:sz w:val="28"/>
          <w:szCs w:val="28"/>
          <w:lang w:val="ru-RU"/>
        </w:rPr>
        <w:t>РУКОВОДСТВО РАЗРАБОТЧИКА</w:t>
      </w:r>
    </w:p>
    <w:p w14:paraId="22C8A1A4" w14:textId="77777777" w:rsidR="002E6036" w:rsidRPr="003726B6" w:rsidRDefault="00000000" w:rsidP="00CC5401">
      <w:pPr>
        <w:spacing w:line="360" w:lineRule="auto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b/>
          <w:color w:val="000000" w:themeColor="text1"/>
          <w:sz w:val="28"/>
          <w:szCs w:val="28"/>
          <w:lang w:val="ru-RU"/>
        </w:rPr>
        <w:t xml:space="preserve">Программное обеспечение стенда тестирования и калибровки </w:t>
      </w:r>
      <w:r w:rsidRPr="003726B6">
        <w:rPr>
          <w:rFonts w:cs="Times New Roman"/>
          <w:b/>
          <w:color w:val="000000" w:themeColor="text1"/>
          <w:sz w:val="28"/>
          <w:szCs w:val="28"/>
        </w:rPr>
        <w:t>AIM</w:t>
      </w:r>
    </w:p>
    <w:p w14:paraId="46CC15C6" w14:textId="77777777" w:rsidR="00E9673F" w:rsidRPr="00E9673F" w:rsidRDefault="00E9673F" w:rsidP="00E9673F">
      <w:pPr>
        <w:pStyle w:val="ae"/>
        <w:numPr>
          <w:ilvl w:val="0"/>
          <w:numId w:val="16"/>
        </w:numPr>
        <w:spacing w:line="360" w:lineRule="auto"/>
        <w:jc w:val="both"/>
        <w:rPr>
          <w:rFonts w:cs="Times New Roman"/>
          <w:b/>
          <w:bCs/>
          <w:color w:val="000000" w:themeColor="text1"/>
          <w:sz w:val="28"/>
          <w:szCs w:val="28"/>
          <w:lang w:val="ru-RU"/>
        </w:rPr>
      </w:pPr>
      <w:r w:rsidRPr="00E9673F">
        <w:rPr>
          <w:rFonts w:cs="Times New Roman"/>
          <w:b/>
          <w:bCs/>
          <w:color w:val="000000" w:themeColor="text1"/>
          <w:sz w:val="28"/>
          <w:szCs w:val="28"/>
          <w:lang w:val="ru-RU"/>
        </w:rPr>
        <w:t xml:space="preserve">Описание </w:t>
      </w:r>
    </w:p>
    <w:p w14:paraId="5D0E897A" w14:textId="77777777" w:rsidR="00E9673F" w:rsidRDefault="00CC5401" w:rsidP="00E9673F">
      <w:pPr>
        <w:spacing w:line="360" w:lineRule="auto"/>
        <w:ind w:firstLine="360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E9673F">
        <w:rPr>
          <w:rFonts w:cs="Times New Roman"/>
          <w:color w:val="000000" w:themeColor="text1"/>
          <w:sz w:val="28"/>
          <w:szCs w:val="28"/>
          <w:lang w:val="ru-RU"/>
        </w:rPr>
        <w:t>Программа предназначена для автоматизированного тестирования и калибровки плат семейства AIM с использованием измерительного стенда на базе CTD-1620, цифрового мультиметра и генератора сигналов.</w:t>
      </w:r>
      <w:r w:rsidRPr="00E9673F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E9673F">
        <w:rPr>
          <w:rFonts w:cs="Times New Roman"/>
          <w:color w:val="000000" w:themeColor="text1"/>
          <w:sz w:val="28"/>
          <w:szCs w:val="28"/>
          <w:lang w:val="ru-RU"/>
        </w:rPr>
        <w:t>Работа программы построена в виде последовательности функциональных этапов: подготовка стенда и подключение платы, считывание информации о модуле, проверка наличия и состояния калибровочных коэффициентов, тестирование или калибровка платы и формирование результатов.</w:t>
      </w:r>
      <w:r w:rsidRPr="00E9673F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E9673F">
        <w:rPr>
          <w:rFonts w:cs="Times New Roman"/>
          <w:color w:val="000000" w:themeColor="text1"/>
          <w:sz w:val="28"/>
          <w:szCs w:val="28"/>
          <w:lang w:val="ru-RU"/>
        </w:rPr>
        <w:t xml:space="preserve">После подготовки стенда информация о подключённой плате и используемом оборудовании объединяется в общий объект </w:t>
      </w:r>
      <w:proofErr w:type="spellStart"/>
      <w:r w:rsidRPr="00E9673F">
        <w:rPr>
          <w:rFonts w:cs="Times New Roman"/>
          <w:color w:val="000000" w:themeColor="text1"/>
          <w:sz w:val="28"/>
          <w:szCs w:val="28"/>
          <w:lang w:val="ru-RU"/>
        </w:rPr>
        <w:t>context</w:t>
      </w:r>
      <w:proofErr w:type="spellEnd"/>
      <w:r w:rsidRPr="00E9673F">
        <w:rPr>
          <w:rFonts w:cs="Times New Roman"/>
          <w:color w:val="000000" w:themeColor="text1"/>
          <w:sz w:val="28"/>
          <w:szCs w:val="28"/>
          <w:lang w:val="ru-RU"/>
        </w:rPr>
        <w:t>. Он передаётся между основными этапами программы и содержит параметры текущего модуля AIM, ссылки на драйверы измерительного оборудования, объект CTD-1620, журнал выполнения и данные для формирования отчёта.</w:t>
      </w:r>
      <w:r w:rsidRPr="00E9673F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E9673F">
        <w:rPr>
          <w:rFonts w:cs="Times New Roman"/>
          <w:color w:val="000000" w:themeColor="text1"/>
          <w:sz w:val="28"/>
          <w:szCs w:val="28"/>
          <w:lang w:val="ru-RU"/>
        </w:rPr>
        <w:t>Основными режимами работы программы являются тестирование и калибровка платы AIM. В режиме тестирования выполняется проверка характеристик платы без изменения калибровочных коэффициентов. В режиме калибровки выполняются необходимые измерения, рассчитываются новые коэффициенты и производится их запись в память платы с последующей проверкой результатов.</w:t>
      </w:r>
    </w:p>
    <w:p w14:paraId="68500F9A" w14:textId="6E56E7CE" w:rsidR="00E9673F" w:rsidRPr="00DD6061" w:rsidRDefault="00E9673F" w:rsidP="00E9673F">
      <w:pPr>
        <w:pStyle w:val="ae"/>
        <w:numPr>
          <w:ilvl w:val="0"/>
          <w:numId w:val="16"/>
        </w:num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E9673F">
        <w:rPr>
          <w:b/>
          <w:bCs/>
          <w:sz w:val="28"/>
          <w:szCs w:val="28"/>
          <w:lang w:val="ru-RU"/>
        </w:rPr>
        <w:t>Первичная настройка и запуск программы</w:t>
      </w:r>
    </w:p>
    <w:p w14:paraId="36E1B866" w14:textId="77777777" w:rsidR="00DD6061" w:rsidRDefault="00DD6061" w:rsidP="00DD6061">
      <w:pPr>
        <w:pStyle w:val="p1"/>
        <w:ind w:firstLine="360"/>
        <w:rPr>
          <w:lang w:val="en-US"/>
        </w:rPr>
      </w:pPr>
      <w:r>
        <w:t>Если Python отсутствует на компьютере, необходимо установить его с официального сайта</w:t>
      </w:r>
      <w:r>
        <w:rPr>
          <w:rStyle w:val="apple-converted-space"/>
        </w:rPr>
        <w:t> </w:t>
      </w:r>
      <w:r w:rsidRPr="00DD6061">
        <w:rPr>
          <w:rStyle w:val="apple-converted-space"/>
        </w:rPr>
        <w:t>https://www.python.org/</w:t>
      </w:r>
      <w:r>
        <w:t>.</w:t>
      </w:r>
      <w:r w:rsidRPr="00DD6061">
        <w:t xml:space="preserve"> </w:t>
      </w:r>
    </w:p>
    <w:p w14:paraId="728234DB" w14:textId="05696203" w:rsidR="00DD6061" w:rsidRDefault="00DD6061" w:rsidP="00DD6061">
      <w:pPr>
        <w:pStyle w:val="p1"/>
        <w:ind w:firstLine="720"/>
      </w:pPr>
      <w:r>
        <w:t xml:space="preserve">Во время установки необходимо установить флажок </w:t>
      </w:r>
      <w:r>
        <w:rPr>
          <w:rStyle w:val="s1"/>
          <w:b/>
          <w:bCs/>
        </w:rPr>
        <w:t>«</w:t>
      </w:r>
      <w:proofErr w:type="spellStart"/>
      <w:r>
        <w:rPr>
          <w:rStyle w:val="s1"/>
          <w:b/>
          <w:bCs/>
        </w:rPr>
        <w:t>Add</w:t>
      </w:r>
      <w:proofErr w:type="spellEnd"/>
      <w:r>
        <w:rPr>
          <w:rStyle w:val="s1"/>
          <w:b/>
          <w:bCs/>
        </w:rPr>
        <w:t xml:space="preserve"> Python </w:t>
      </w:r>
      <w:proofErr w:type="spellStart"/>
      <w:r>
        <w:rPr>
          <w:rStyle w:val="s1"/>
          <w:b/>
          <w:bCs/>
        </w:rPr>
        <w:t>to</w:t>
      </w:r>
      <w:proofErr w:type="spellEnd"/>
      <w:r>
        <w:rPr>
          <w:rStyle w:val="s1"/>
          <w:b/>
          <w:bCs/>
        </w:rPr>
        <w:t xml:space="preserve"> PATH»</w:t>
      </w:r>
      <w:r>
        <w:t>. После установки откройте командную строку и проверьте доступность Python:</w:t>
      </w:r>
    </w:p>
    <w:p w14:paraId="5D9822E2" w14:textId="3CEF40D7" w:rsidR="00DD6061" w:rsidRPr="00DD6061" w:rsidRDefault="00DD6061" w:rsidP="00DD6061">
      <w:pPr>
        <w:shd w:val="clear" w:color="auto" w:fill="EDEDED"/>
        <w:spacing w:before="60" w:after="160" w:line="360" w:lineRule="auto"/>
        <w:ind w:right="283"/>
        <w:rPr>
          <w:rFonts w:ascii="Consolas" w:hAnsi="Consolas"/>
        </w:rPr>
      </w:pPr>
      <w:r>
        <w:rPr>
          <w:rFonts w:ascii="Consolas" w:hAnsi="Consolas"/>
        </w:rPr>
        <w:t>python –version</w:t>
      </w:r>
    </w:p>
    <w:p w14:paraId="44F979C3" w14:textId="77777777" w:rsidR="00DD6061" w:rsidRPr="00DD6061" w:rsidRDefault="00DD6061" w:rsidP="00DD6061">
      <w:pPr>
        <w:pStyle w:val="p1"/>
        <w:rPr>
          <w:lang w:val="en-US"/>
        </w:rPr>
      </w:pPr>
      <w:r>
        <w:lastRenderedPageBreak/>
        <w:t>Также</w:t>
      </w:r>
      <w:r w:rsidRPr="00DD6061">
        <w:rPr>
          <w:lang w:val="en-US"/>
        </w:rPr>
        <w:t xml:space="preserve"> </w:t>
      </w:r>
      <w:r>
        <w:t>проверьте</w:t>
      </w:r>
      <w:r w:rsidRPr="00DD6061">
        <w:rPr>
          <w:lang w:val="en-US"/>
        </w:rPr>
        <w:t xml:space="preserve"> </w:t>
      </w:r>
      <w:r>
        <w:t>наличие</w:t>
      </w:r>
      <w:r w:rsidRPr="00DD6061">
        <w:rPr>
          <w:lang w:val="en-US"/>
        </w:rPr>
        <w:t xml:space="preserve"> </w:t>
      </w:r>
      <w:r w:rsidRPr="00DD6061">
        <w:rPr>
          <w:rStyle w:val="HTML"/>
          <w:lang w:val="en-US"/>
        </w:rPr>
        <w:t>pip</w:t>
      </w:r>
      <w:r w:rsidRPr="00DD6061">
        <w:rPr>
          <w:lang w:val="en-US"/>
        </w:rPr>
        <w:t>:</w:t>
      </w:r>
    </w:p>
    <w:p w14:paraId="07B24636" w14:textId="69646B07" w:rsidR="00DD6061" w:rsidRDefault="00DD6061" w:rsidP="00DD6061">
      <w:pPr>
        <w:shd w:val="clear" w:color="auto" w:fill="EDEDED"/>
        <w:spacing w:before="60" w:after="160" w:line="360" w:lineRule="auto"/>
        <w:ind w:right="283"/>
        <w:rPr>
          <w:rFonts w:ascii="Consolas" w:hAnsi="Consolas"/>
          <w:lang w:val="ru-RU"/>
        </w:rPr>
      </w:pPr>
      <w:r>
        <w:rPr>
          <w:rFonts w:ascii="Consolas" w:hAnsi="Consolas"/>
        </w:rPr>
        <w:t>python</w:t>
      </w:r>
      <w:r w:rsidRPr="00DD6061">
        <w:rPr>
          <w:rFonts w:ascii="Consolas" w:hAnsi="Consolas"/>
          <w:lang w:val="ru-RU"/>
        </w:rPr>
        <w:t xml:space="preserve"> –</w:t>
      </w:r>
      <w:r>
        <w:rPr>
          <w:rFonts w:ascii="Consolas" w:hAnsi="Consolas"/>
        </w:rPr>
        <w:t>m</w:t>
      </w:r>
      <w:r w:rsidRPr="00DD6061">
        <w:rPr>
          <w:rFonts w:ascii="Consolas" w:hAnsi="Consolas"/>
          <w:lang w:val="ru-RU"/>
        </w:rPr>
        <w:t xml:space="preserve"> </w:t>
      </w:r>
      <w:r>
        <w:rPr>
          <w:rFonts w:ascii="Consolas" w:hAnsi="Consolas"/>
        </w:rPr>
        <w:t>pip</w:t>
      </w:r>
      <w:r w:rsidRPr="00DD6061">
        <w:rPr>
          <w:rFonts w:ascii="Consolas" w:hAnsi="Consolas"/>
          <w:lang w:val="ru-RU"/>
        </w:rPr>
        <w:t xml:space="preserve"> –</w:t>
      </w:r>
      <w:r>
        <w:rPr>
          <w:rFonts w:ascii="Consolas" w:hAnsi="Consolas"/>
        </w:rPr>
        <w:t>version</w:t>
      </w:r>
    </w:p>
    <w:p w14:paraId="3DDB6A6F" w14:textId="41F605FE" w:rsidR="00DD6061" w:rsidRPr="00CC5401" w:rsidRDefault="00777EF0" w:rsidP="00DD6061">
      <w:pPr>
        <w:spacing w:after="100" w:line="360" w:lineRule="auto"/>
        <w:rPr>
          <w:lang w:val="ru-RU"/>
        </w:rPr>
      </w:pPr>
      <w:r>
        <w:rPr>
          <w:lang w:val="ru-RU"/>
        </w:rPr>
        <w:t xml:space="preserve">Перейдите в папку проекта </w:t>
      </w:r>
    </w:p>
    <w:p w14:paraId="05456C48" w14:textId="218F96E7" w:rsidR="00E9673F" w:rsidRPr="00777EF0" w:rsidRDefault="00777EF0" w:rsidP="00E9673F">
      <w:pPr>
        <w:shd w:val="clear" w:color="auto" w:fill="EDEDED"/>
        <w:spacing w:before="60" w:after="160" w:line="360" w:lineRule="auto"/>
        <w:ind w:right="283"/>
      </w:pPr>
      <w:proofErr w:type="gramStart"/>
      <w:r>
        <w:rPr>
          <w:rFonts w:ascii="Consolas" w:hAnsi="Consolas"/>
          <w:lang w:val="ru-RU"/>
        </w:rPr>
        <w:t>например</w:t>
      </w:r>
      <w:proofErr w:type="gramEnd"/>
      <w:r w:rsidRPr="00777EF0">
        <w:rPr>
          <w:rFonts w:ascii="Consolas" w:hAnsi="Consolas"/>
        </w:rPr>
        <w:t xml:space="preserve"> </w:t>
      </w:r>
      <w:r>
        <w:rPr>
          <w:rFonts w:ascii="Consolas" w:hAnsi="Consolas"/>
        </w:rPr>
        <w:t>cd</w:t>
      </w:r>
      <w:r w:rsidRPr="00777EF0">
        <w:rPr>
          <w:rFonts w:ascii="Consolas" w:hAnsi="Consolas"/>
        </w:rPr>
        <w:t xml:space="preserve"> </w:t>
      </w:r>
      <w:r>
        <w:rPr>
          <w:rFonts w:ascii="Consolas" w:hAnsi="Consolas"/>
        </w:rPr>
        <w:t>C</w:t>
      </w:r>
      <w:r w:rsidRPr="00777EF0">
        <w:rPr>
          <w:rFonts w:ascii="Consolas" w:hAnsi="Consolas"/>
        </w:rPr>
        <w:t>:</w:t>
      </w:r>
      <w:r>
        <w:rPr>
          <w:rFonts w:ascii="Consolas" w:hAnsi="Consolas"/>
        </w:rPr>
        <w:t>\User\Desktop\AIM</w:t>
      </w:r>
    </w:p>
    <w:p w14:paraId="5357BFDA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Создайте виртуальное окружение командой:</w:t>
      </w:r>
    </w:p>
    <w:p w14:paraId="6867E2CA" w14:textId="77777777" w:rsidR="00E9673F" w:rsidRPr="00CC5401" w:rsidRDefault="00E9673F" w:rsidP="00E9673F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r w:rsidRPr="00CC5401">
        <w:rPr>
          <w:rFonts w:ascii="Consolas" w:hAnsi="Consolas"/>
        </w:rPr>
        <w:t>python</w:t>
      </w:r>
      <w:r w:rsidRPr="00CC5401">
        <w:rPr>
          <w:rFonts w:ascii="Consolas" w:hAnsi="Consolas"/>
          <w:lang w:val="ru-RU"/>
        </w:rPr>
        <w:t xml:space="preserve"> -</w:t>
      </w:r>
      <w:r w:rsidRPr="00CC5401">
        <w:rPr>
          <w:rFonts w:ascii="Consolas" w:hAnsi="Consolas"/>
        </w:rPr>
        <w:t>m</w:t>
      </w:r>
      <w:r w:rsidRPr="00CC5401">
        <w:rPr>
          <w:rFonts w:ascii="Consolas" w:hAnsi="Consolas"/>
          <w:lang w:val="ru-RU"/>
        </w:rPr>
        <w:t xml:space="preserve"> </w:t>
      </w:r>
      <w:proofErr w:type="spellStart"/>
      <w:proofErr w:type="gramStart"/>
      <w:r w:rsidRPr="00CC5401">
        <w:rPr>
          <w:rFonts w:ascii="Consolas" w:hAnsi="Consolas"/>
        </w:rPr>
        <w:t>venv</w:t>
      </w:r>
      <w:proofErr w:type="spellEnd"/>
      <w:r w:rsidRPr="00CC5401">
        <w:rPr>
          <w:rFonts w:ascii="Consolas" w:hAnsi="Consolas"/>
          <w:lang w:val="ru-RU"/>
        </w:rPr>
        <w:t xml:space="preserve"> .</w:t>
      </w:r>
      <w:proofErr w:type="spellStart"/>
      <w:r w:rsidRPr="00CC5401">
        <w:rPr>
          <w:rFonts w:ascii="Consolas" w:hAnsi="Consolas"/>
        </w:rPr>
        <w:t>venv</w:t>
      </w:r>
      <w:proofErr w:type="spellEnd"/>
      <w:proofErr w:type="gramEnd"/>
    </w:p>
    <w:p w14:paraId="74743BFE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Активируйте созданное виртуальное окружение:</w:t>
      </w:r>
    </w:p>
    <w:p w14:paraId="2A2E6C98" w14:textId="77777777" w:rsidR="00E9673F" w:rsidRPr="00CC5401" w:rsidRDefault="00E9673F" w:rsidP="00E9673F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proofErr w:type="gramStart"/>
      <w:r w:rsidRPr="00CC5401">
        <w:rPr>
          <w:rFonts w:ascii="Consolas" w:hAnsi="Consolas"/>
          <w:lang w:val="ru-RU"/>
        </w:rPr>
        <w:t>.</w:t>
      </w:r>
      <w:proofErr w:type="spellStart"/>
      <w:r w:rsidRPr="00CC5401">
        <w:rPr>
          <w:rFonts w:ascii="Consolas" w:hAnsi="Consolas"/>
        </w:rPr>
        <w:t>venv</w:t>
      </w:r>
      <w:proofErr w:type="spellEnd"/>
      <w:proofErr w:type="gramEnd"/>
      <w:r w:rsidRPr="00CC5401">
        <w:rPr>
          <w:rFonts w:ascii="Consolas" w:hAnsi="Consolas"/>
          <w:lang w:val="ru-RU"/>
        </w:rPr>
        <w:t>\</w:t>
      </w:r>
      <w:r w:rsidRPr="00CC5401">
        <w:rPr>
          <w:rFonts w:ascii="Consolas" w:hAnsi="Consolas"/>
        </w:rPr>
        <w:t>Scripts</w:t>
      </w:r>
      <w:r w:rsidRPr="00CC5401">
        <w:rPr>
          <w:rFonts w:ascii="Consolas" w:hAnsi="Consolas"/>
          <w:lang w:val="ru-RU"/>
        </w:rPr>
        <w:t>\</w:t>
      </w:r>
      <w:r w:rsidRPr="00CC5401">
        <w:rPr>
          <w:rFonts w:ascii="Consolas" w:hAnsi="Consolas"/>
        </w:rPr>
        <w:t>activate</w:t>
      </w:r>
    </w:p>
    <w:p w14:paraId="5208DDA8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Установите необходимые для работы программы библиотеки:</w:t>
      </w:r>
    </w:p>
    <w:p w14:paraId="392C5916" w14:textId="77777777" w:rsidR="00E9673F" w:rsidRPr="00CC5401" w:rsidRDefault="00E9673F" w:rsidP="00E9673F">
      <w:pPr>
        <w:shd w:val="clear" w:color="auto" w:fill="EDEDED"/>
        <w:spacing w:before="60" w:after="160" w:line="360" w:lineRule="auto"/>
        <w:ind w:right="283"/>
        <w:rPr>
          <w:lang w:val="ru-RU"/>
        </w:rPr>
      </w:pPr>
      <w:r w:rsidRPr="00CC5401">
        <w:rPr>
          <w:rFonts w:ascii="Consolas" w:hAnsi="Consolas"/>
        </w:rPr>
        <w:t>pip</w:t>
      </w:r>
      <w:r w:rsidRPr="00CC5401">
        <w:rPr>
          <w:rFonts w:ascii="Consolas" w:hAnsi="Consolas"/>
          <w:lang w:val="ru-RU"/>
        </w:rPr>
        <w:t xml:space="preserve"> </w:t>
      </w:r>
      <w:r w:rsidRPr="00CC5401">
        <w:rPr>
          <w:rFonts w:ascii="Consolas" w:hAnsi="Consolas"/>
        </w:rPr>
        <w:t>install</w:t>
      </w:r>
      <w:r w:rsidRPr="00CC5401">
        <w:rPr>
          <w:rFonts w:ascii="Consolas" w:hAnsi="Consolas"/>
          <w:lang w:val="ru-RU"/>
        </w:rPr>
        <w:t xml:space="preserve"> -</w:t>
      </w:r>
      <w:r w:rsidRPr="00CC5401">
        <w:rPr>
          <w:rFonts w:ascii="Consolas" w:hAnsi="Consolas"/>
        </w:rPr>
        <w:t>r</w:t>
      </w:r>
      <w:r w:rsidRPr="00CC5401">
        <w:rPr>
          <w:rFonts w:ascii="Consolas" w:hAnsi="Consolas"/>
          <w:lang w:val="ru-RU"/>
        </w:rPr>
        <w:t xml:space="preserve"> </w:t>
      </w:r>
      <w:r w:rsidRPr="00CC5401">
        <w:rPr>
          <w:rFonts w:ascii="Consolas" w:hAnsi="Consolas"/>
        </w:rPr>
        <w:t>requirements</w:t>
      </w:r>
      <w:r w:rsidRPr="00CC5401">
        <w:rPr>
          <w:rFonts w:ascii="Consolas" w:hAnsi="Consolas"/>
          <w:lang w:val="ru-RU"/>
        </w:rPr>
        <w:t>.</w:t>
      </w:r>
      <w:r w:rsidRPr="00CC5401">
        <w:rPr>
          <w:rFonts w:ascii="Consolas" w:hAnsi="Consolas"/>
        </w:rPr>
        <w:t>txt</w:t>
      </w:r>
    </w:p>
    <w:p w14:paraId="75627FC6" w14:textId="77777777" w:rsidR="00E9673F" w:rsidRPr="00CC5401" w:rsidRDefault="00E9673F" w:rsidP="00E9673F">
      <w:pPr>
        <w:spacing w:after="100" w:line="360" w:lineRule="auto"/>
        <w:rPr>
          <w:lang w:val="ru-RU"/>
        </w:rPr>
      </w:pPr>
      <w:r w:rsidRPr="00CC5401">
        <w:rPr>
          <w:lang w:val="ru-RU"/>
        </w:rPr>
        <w:t>После завершения установки программа готова к работе. Для запуска откройте файл:</w:t>
      </w:r>
    </w:p>
    <w:p w14:paraId="12A53E34" w14:textId="1C9CDB16" w:rsidR="00E9673F" w:rsidRPr="00777EF0" w:rsidRDefault="00E9673F" w:rsidP="00777EF0">
      <w:pPr>
        <w:shd w:val="clear" w:color="auto" w:fill="EDEDED"/>
        <w:spacing w:before="60" w:after="160" w:line="360" w:lineRule="auto"/>
        <w:ind w:right="283"/>
      </w:pPr>
      <w:r w:rsidRPr="00CC5401">
        <w:rPr>
          <w:rFonts w:ascii="Consolas" w:hAnsi="Consolas"/>
        </w:rPr>
        <w:t>start</w:t>
      </w:r>
      <w:r w:rsidRPr="00CC5401">
        <w:rPr>
          <w:rFonts w:ascii="Consolas" w:hAnsi="Consolas"/>
          <w:lang w:val="ru-RU"/>
        </w:rPr>
        <w:t>_</w:t>
      </w:r>
      <w:proofErr w:type="spellStart"/>
      <w:r w:rsidRPr="00CC5401">
        <w:rPr>
          <w:rFonts w:ascii="Consolas" w:hAnsi="Consolas"/>
        </w:rPr>
        <w:t>calib</w:t>
      </w:r>
      <w:proofErr w:type="spellEnd"/>
      <w:r w:rsidRPr="00CC5401">
        <w:rPr>
          <w:rFonts w:ascii="Consolas" w:hAnsi="Consolas"/>
          <w:lang w:val="ru-RU"/>
        </w:rPr>
        <w:t>.</w:t>
      </w:r>
      <w:r w:rsidRPr="00CC5401">
        <w:rPr>
          <w:rFonts w:ascii="Consolas" w:hAnsi="Consolas"/>
        </w:rPr>
        <w:t>bat</w:t>
      </w:r>
    </w:p>
    <w:p w14:paraId="1FEBFD60" w14:textId="392546F6" w:rsidR="002E6036" w:rsidRPr="00CC5401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CC5401">
        <w:rPr>
          <w:rFonts w:ascii="Times New Roman" w:hAnsi="Times New Roman" w:cs="Times New Roman"/>
          <w:color w:val="000000" w:themeColor="text1"/>
          <w:lang w:val="ru-RU"/>
        </w:rPr>
        <w:t>Логический поток выполнения</w:t>
      </w:r>
    </w:p>
    <w:p w14:paraId="3B6408B8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main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создаёт объекты </w:t>
      </w:r>
      <w:r w:rsidRPr="003726B6">
        <w:rPr>
          <w:rFonts w:cs="Times New Roman"/>
          <w:color w:val="000000" w:themeColor="text1"/>
          <w:sz w:val="28"/>
          <w:szCs w:val="28"/>
        </w:rPr>
        <w:t>Agilent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34401</w:t>
      </w:r>
      <w:r w:rsidRPr="003726B6">
        <w:rPr>
          <w:rFonts w:cs="Times New Roman"/>
          <w:color w:val="000000" w:themeColor="text1"/>
          <w:sz w:val="28"/>
          <w:szCs w:val="28"/>
        </w:rPr>
        <w:t>A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3726B6">
        <w:rPr>
          <w:rFonts w:cs="Times New Roman"/>
          <w:color w:val="000000" w:themeColor="text1"/>
          <w:sz w:val="28"/>
          <w:szCs w:val="28"/>
        </w:rPr>
        <w:t>TGA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1240 и задаёт начальные режимы приборов.</w:t>
      </w:r>
    </w:p>
    <w:p w14:paraId="07AF4135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PrepareStand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выполняет считывание маркировки, подключение </w:t>
      </w:r>
      <w:r w:rsidRPr="003726B6">
        <w:rPr>
          <w:rFonts w:cs="Times New Roman"/>
          <w:color w:val="000000" w:themeColor="text1"/>
          <w:sz w:val="28"/>
          <w:szCs w:val="28"/>
        </w:rPr>
        <w:t>CTD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-1620 и подготовку информации о модуле.</w:t>
      </w:r>
    </w:p>
    <w:p w14:paraId="696530DE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PrepareModuleInfo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) формирует параметры установленной платы, журнал и имя файлов.</w:t>
      </w:r>
    </w:p>
    <w:p w14:paraId="6A10B1B4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PrepareStand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собирает данные и зависимости в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1D7E264D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processModule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 вызывает </w:t>
      </w: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GetCalibrationInfoAIM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) и анализирует состояние калибровки.</w:t>
      </w:r>
    </w:p>
    <w:p w14:paraId="0B901EA2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При отсутствии калибровки запускается </w:t>
      </w: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RunCalibrationAIM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), а после успешного результата — </w:t>
      </w:r>
      <w:proofErr w:type="spellStart"/>
      <w:proofErr w:type="gramStart"/>
      <w:r w:rsidRPr="003726B6">
        <w:rPr>
          <w:rFonts w:cs="Times New Roman"/>
          <w:color w:val="000000" w:themeColor="text1"/>
          <w:sz w:val="28"/>
          <w:szCs w:val="28"/>
        </w:rPr>
        <w:t>RunTestAIM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(</w:t>
      </w:r>
      <w:proofErr w:type="gram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).</w:t>
      </w:r>
    </w:p>
    <w:p w14:paraId="32F3EB58" w14:textId="77777777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После подготовки оператор получает меню: тест, калибровка, смена модуля или выход.</w:t>
      </w:r>
    </w:p>
    <w:p w14:paraId="5298552D" w14:textId="69D81948" w:rsidR="002E6036" w:rsidRPr="003726B6" w:rsidRDefault="00000000" w:rsidP="00CC5401">
      <w:pPr>
        <w:pStyle w:val="a"/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lastRenderedPageBreak/>
        <w:t>При смене модуля главный цикл повторяется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тип предыдущего модуля сохраняется для контроля серии.</w:t>
      </w:r>
    </w:p>
    <w:p w14:paraId="390880C1" w14:textId="3617A406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726B6">
        <w:rPr>
          <w:rFonts w:ascii="Times New Roman" w:hAnsi="Times New Roman" w:cs="Times New Roman"/>
          <w:color w:val="000000" w:themeColor="text1"/>
        </w:rPr>
        <w:t>Основные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модули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 и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ответственность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423"/>
        <w:gridCol w:w="2760"/>
        <w:gridCol w:w="3006"/>
      </w:tblGrid>
      <w:tr w:rsidR="002E6036" w:rsidRPr="003726B6" w14:paraId="74768727" w14:textId="77777777">
        <w:trPr>
          <w:jc w:val="center"/>
        </w:trPr>
        <w:tc>
          <w:tcPr>
            <w:tcW w:w="3324" w:type="dxa"/>
          </w:tcPr>
          <w:p w14:paraId="16404B0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Модуль</w:t>
            </w:r>
          </w:p>
        </w:tc>
        <w:tc>
          <w:tcPr>
            <w:tcW w:w="3324" w:type="dxa"/>
          </w:tcPr>
          <w:p w14:paraId="3B8BEA8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Ответственность</w:t>
            </w:r>
          </w:p>
        </w:tc>
        <w:tc>
          <w:tcPr>
            <w:tcW w:w="3324" w:type="dxa"/>
          </w:tcPr>
          <w:p w14:paraId="01B0BE0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Ключевые элементы</w:t>
            </w:r>
          </w:p>
        </w:tc>
      </w:tr>
      <w:tr w:rsidR="002E6036" w:rsidRPr="003726B6" w14:paraId="3F6738A1" w14:textId="77777777">
        <w:trPr>
          <w:jc w:val="center"/>
        </w:trPr>
        <w:tc>
          <w:tcPr>
            <w:tcW w:w="3324" w:type="dxa"/>
          </w:tcPr>
          <w:p w14:paraId="022BCC0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main.py</w:t>
            </w:r>
          </w:p>
        </w:tc>
        <w:tc>
          <w:tcPr>
            <w:tcW w:w="3324" w:type="dxa"/>
          </w:tcPr>
          <w:p w14:paraId="653DC489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Точка входа и управление сценарием</w:t>
            </w:r>
          </w:p>
        </w:tc>
        <w:tc>
          <w:tcPr>
            <w:tcW w:w="3324" w:type="dxa"/>
          </w:tcPr>
          <w:p w14:paraId="0DA99FE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main,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processModule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moduleMenu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printMainMenu</w:t>
            </w:r>
            <w:proofErr w:type="spellEnd"/>
          </w:p>
        </w:tc>
      </w:tr>
      <w:tr w:rsidR="002E6036" w:rsidRPr="003726B6" w14:paraId="0ADE1AE5" w14:textId="77777777">
        <w:trPr>
          <w:jc w:val="center"/>
        </w:trPr>
        <w:tc>
          <w:tcPr>
            <w:tcW w:w="3324" w:type="dxa"/>
          </w:tcPr>
          <w:p w14:paraId="75F453A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stand.py</w:t>
            </w:r>
          </w:p>
        </w:tc>
        <w:tc>
          <w:tcPr>
            <w:tcW w:w="3324" w:type="dxa"/>
          </w:tcPr>
          <w:p w14:paraId="393AEFD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Подготовка стенда и текущего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AIM</w:t>
            </w:r>
          </w:p>
        </w:tc>
        <w:tc>
          <w:tcPr>
            <w:tcW w:w="3324" w:type="dxa"/>
          </w:tcPr>
          <w:p w14:paraId="2510A6D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PrepareStand</w:t>
            </w:r>
          </w:p>
        </w:tc>
      </w:tr>
      <w:tr w:rsidR="002E6036" w:rsidRPr="003726B6" w14:paraId="517D02E9" w14:textId="77777777">
        <w:trPr>
          <w:jc w:val="center"/>
        </w:trPr>
        <w:tc>
          <w:tcPr>
            <w:tcW w:w="3324" w:type="dxa"/>
          </w:tcPr>
          <w:p w14:paraId="05BA75E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eeprom/eeprom.py</w:t>
            </w:r>
          </w:p>
        </w:tc>
        <w:tc>
          <w:tcPr>
            <w:tcW w:w="3324" w:type="dxa"/>
          </w:tcPr>
          <w:p w14:paraId="5D4A911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Чтение, разбор и запись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EEPROM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CALB</w:t>
            </w:r>
          </w:p>
        </w:tc>
        <w:tc>
          <w:tcPr>
            <w:tcW w:w="3324" w:type="dxa"/>
          </w:tcPr>
          <w:p w14:paraId="10ACD53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PrepareModuleInfo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ReadCalibrate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WriteCalibrate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 и функции разбора</w:t>
            </w:r>
          </w:p>
        </w:tc>
      </w:tr>
      <w:tr w:rsidR="002E6036" w:rsidRPr="003726B6" w14:paraId="26BDED34" w14:textId="77777777">
        <w:trPr>
          <w:jc w:val="center"/>
        </w:trPr>
        <w:tc>
          <w:tcPr>
            <w:tcW w:w="3324" w:type="dxa"/>
          </w:tcPr>
          <w:p w14:paraId="43E5939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measurements/runCoefAIM.py</w:t>
            </w:r>
          </w:p>
        </w:tc>
        <w:tc>
          <w:tcPr>
            <w:tcW w:w="3324" w:type="dxa"/>
          </w:tcPr>
          <w:p w14:paraId="595CC83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Проверка существующей калибровки</w:t>
            </w:r>
          </w:p>
        </w:tc>
        <w:tc>
          <w:tcPr>
            <w:tcW w:w="3324" w:type="dxa"/>
          </w:tcPr>
          <w:p w14:paraId="577B0D6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GetCalibrationInfoAIM</w:t>
            </w:r>
          </w:p>
        </w:tc>
      </w:tr>
      <w:tr w:rsidR="002E6036" w:rsidRPr="003726B6" w14:paraId="07104DF9" w14:textId="77777777">
        <w:trPr>
          <w:jc w:val="center"/>
        </w:trPr>
        <w:tc>
          <w:tcPr>
            <w:tcW w:w="3324" w:type="dxa"/>
          </w:tcPr>
          <w:p w14:paraId="5F41B3F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measurements/runTestAIM.py</w:t>
            </w:r>
          </w:p>
        </w:tc>
        <w:tc>
          <w:tcPr>
            <w:tcW w:w="3324" w:type="dxa"/>
          </w:tcPr>
          <w:p w14:paraId="76A2D16A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Полный функциональный тест</w:t>
            </w:r>
          </w:p>
        </w:tc>
        <w:tc>
          <w:tcPr>
            <w:tcW w:w="3324" w:type="dxa"/>
          </w:tcPr>
          <w:p w14:paraId="5F48CDE9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RunTestAIM</w:t>
            </w:r>
          </w:p>
        </w:tc>
      </w:tr>
      <w:tr w:rsidR="002E6036" w:rsidRPr="003726B6" w14:paraId="2D0C7A1D" w14:textId="77777777">
        <w:trPr>
          <w:jc w:val="center"/>
        </w:trPr>
        <w:tc>
          <w:tcPr>
            <w:tcW w:w="3324" w:type="dxa"/>
          </w:tcPr>
          <w:p w14:paraId="178BF34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measurements/runCalibrationAIM.py</w:t>
            </w:r>
          </w:p>
        </w:tc>
        <w:tc>
          <w:tcPr>
            <w:tcW w:w="3324" w:type="dxa"/>
          </w:tcPr>
          <w:p w14:paraId="6F005F2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Расчёт и запись калибровки</w:t>
            </w:r>
          </w:p>
        </w:tc>
        <w:tc>
          <w:tcPr>
            <w:tcW w:w="3324" w:type="dxa"/>
          </w:tcPr>
          <w:p w14:paraId="7C503BA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RunCalibrationAIM</w:t>
            </w:r>
          </w:p>
        </w:tc>
      </w:tr>
      <w:tr w:rsidR="002E6036" w:rsidRPr="003726B6" w14:paraId="6A5FDB22" w14:textId="77777777">
        <w:trPr>
          <w:jc w:val="center"/>
        </w:trPr>
        <w:tc>
          <w:tcPr>
            <w:tcW w:w="3324" w:type="dxa"/>
          </w:tcPr>
          <w:p w14:paraId="52B5704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measurements/measure.py</w:t>
            </w:r>
          </w:p>
        </w:tc>
        <w:tc>
          <w:tcPr>
            <w:tcW w:w="3324" w:type="dxa"/>
          </w:tcPr>
          <w:p w14:paraId="15A1CB3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Низкоуровневые измерительные процедуры</w:t>
            </w:r>
          </w:p>
        </w:tc>
        <w:tc>
          <w:tcPr>
            <w:tcW w:w="3324" w:type="dxa"/>
          </w:tcPr>
          <w:p w14:paraId="7AFD818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DC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AC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AUX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, точки калибровки</w:t>
            </w:r>
          </w:p>
        </w:tc>
      </w:tr>
      <w:tr w:rsidR="002E6036" w:rsidRPr="003726B6" w14:paraId="2244A1E4" w14:textId="77777777">
        <w:trPr>
          <w:jc w:val="center"/>
        </w:trPr>
        <w:tc>
          <w:tcPr>
            <w:tcW w:w="3324" w:type="dxa"/>
          </w:tcPr>
          <w:p w14:paraId="7A668A2E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measurements/calculate.py</w:t>
            </w:r>
          </w:p>
        </w:tc>
        <w:tc>
          <w:tcPr>
            <w:tcW w:w="3324" w:type="dxa"/>
          </w:tcPr>
          <w:p w14:paraId="4ACFF6F4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Математические расчёты и допуски</w:t>
            </w:r>
          </w:p>
        </w:tc>
        <w:tc>
          <w:tcPr>
            <w:tcW w:w="3324" w:type="dxa"/>
          </w:tcPr>
          <w:p w14:paraId="2741CC3A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CalcSafeOffsetsGen и расчёт коэффициентов</w:t>
            </w:r>
          </w:p>
        </w:tc>
      </w:tr>
      <w:tr w:rsidR="002E6036" w:rsidRPr="003726B6" w14:paraId="270FF433" w14:textId="77777777">
        <w:trPr>
          <w:jc w:val="center"/>
        </w:trPr>
        <w:tc>
          <w:tcPr>
            <w:tcW w:w="3324" w:type="dxa"/>
          </w:tcPr>
          <w:p w14:paraId="3E0372F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lastRenderedPageBreak/>
              <w:t>measurements/printInfo.py</w:t>
            </w:r>
          </w:p>
        </w:tc>
        <w:tc>
          <w:tcPr>
            <w:tcW w:w="3324" w:type="dxa"/>
          </w:tcPr>
          <w:p w14:paraId="255EE825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Консольный вывод, таблицы и запись в лог</w:t>
            </w:r>
          </w:p>
        </w:tc>
        <w:tc>
          <w:tcPr>
            <w:tcW w:w="3324" w:type="dxa"/>
          </w:tcPr>
          <w:p w14:paraId="44FC889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Print,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LogBlockStart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LogBlockEnd</w:t>
            </w:r>
            <w:proofErr w:type="spellEnd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, </w:t>
            </w:r>
            <w:proofErr w:type="spellStart"/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таблицы</w:t>
            </w:r>
            <w:proofErr w:type="spellEnd"/>
          </w:p>
        </w:tc>
      </w:tr>
      <w:tr w:rsidR="002E6036" w:rsidRPr="003726B6" w14:paraId="45BD3094" w14:textId="77777777">
        <w:trPr>
          <w:jc w:val="center"/>
        </w:trPr>
        <w:tc>
          <w:tcPr>
            <w:tcW w:w="3324" w:type="dxa"/>
          </w:tcPr>
          <w:p w14:paraId="2A1813F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tools/CTD1620.py</w:t>
            </w:r>
          </w:p>
        </w:tc>
        <w:tc>
          <w:tcPr>
            <w:tcW w:w="3324" w:type="dxa"/>
          </w:tcPr>
          <w:p w14:paraId="78C35AA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Интерфейс с CTD-1620</w:t>
            </w:r>
          </w:p>
        </w:tc>
        <w:tc>
          <w:tcPr>
            <w:tcW w:w="3324" w:type="dxa"/>
          </w:tcPr>
          <w:p w14:paraId="797983A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Connect, EEPROM, команды конфигурации</w:t>
            </w:r>
          </w:p>
        </w:tc>
      </w:tr>
      <w:tr w:rsidR="002E6036" w:rsidRPr="003726B6" w14:paraId="3BB17774" w14:textId="77777777">
        <w:trPr>
          <w:jc w:val="center"/>
        </w:trPr>
        <w:tc>
          <w:tcPr>
            <w:tcW w:w="3324" w:type="dxa"/>
          </w:tcPr>
          <w:p w14:paraId="05FD888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tools/Agilent34401A.py</w:t>
            </w:r>
          </w:p>
        </w:tc>
        <w:tc>
          <w:tcPr>
            <w:tcW w:w="3324" w:type="dxa"/>
          </w:tcPr>
          <w:p w14:paraId="6A6BE9C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Управление мультиметром по последовательному интерфейсу</w:t>
            </w:r>
          </w:p>
        </w:tc>
        <w:tc>
          <w:tcPr>
            <w:tcW w:w="3324" w:type="dxa"/>
          </w:tcPr>
          <w:p w14:paraId="48F35FD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SCPI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>, выбор канала и режима измерения</w:t>
            </w:r>
          </w:p>
        </w:tc>
      </w:tr>
      <w:tr w:rsidR="002E6036" w:rsidRPr="003726B6" w14:paraId="73FA7ABD" w14:textId="77777777">
        <w:trPr>
          <w:jc w:val="center"/>
        </w:trPr>
        <w:tc>
          <w:tcPr>
            <w:tcW w:w="3324" w:type="dxa"/>
          </w:tcPr>
          <w:p w14:paraId="224072A3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tools/TGA1240.py</w:t>
            </w:r>
          </w:p>
        </w:tc>
        <w:tc>
          <w:tcPr>
            <w:tcW w:w="3324" w:type="dxa"/>
          </w:tcPr>
          <w:p w14:paraId="1D7A945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Управление генератором</w:t>
            </w:r>
          </w:p>
        </w:tc>
        <w:tc>
          <w:tcPr>
            <w:tcW w:w="3324" w:type="dxa"/>
          </w:tcPr>
          <w:p w14:paraId="029A494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  <w:lang w:val="ru-RU"/>
              </w:rPr>
              <w:t xml:space="preserve">Настройка канала, формы сигнала и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offset</w:t>
            </w:r>
          </w:p>
        </w:tc>
      </w:tr>
      <w:tr w:rsidR="002E6036" w:rsidRPr="003726B6" w14:paraId="7B5813C2" w14:textId="77777777">
        <w:trPr>
          <w:jc w:val="center"/>
        </w:trPr>
        <w:tc>
          <w:tcPr>
            <w:tcW w:w="3324" w:type="dxa"/>
          </w:tcPr>
          <w:p w14:paraId="6B43A337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scanQR/scan_markers.py</w:t>
            </w:r>
          </w:p>
        </w:tc>
        <w:tc>
          <w:tcPr>
            <w:tcW w:w="3324" w:type="dxa"/>
          </w:tcPr>
          <w:p w14:paraId="1CD95DC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Идентификация изделия</w:t>
            </w:r>
          </w:p>
        </w:tc>
        <w:tc>
          <w:tcPr>
            <w:tcW w:w="3324" w:type="dxa"/>
          </w:tcPr>
          <w:p w14:paraId="59F0862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ScanDataMatrix</w:t>
            </w:r>
          </w:p>
        </w:tc>
      </w:tr>
    </w:tbl>
    <w:p w14:paraId="7CFAE824" w14:textId="48FBE5F7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726B6">
        <w:rPr>
          <w:rFonts w:ascii="Times New Roman" w:hAnsi="Times New Roman" w:cs="Times New Roman"/>
          <w:color w:val="000000" w:themeColor="text1"/>
        </w:rPr>
        <w:t>Словарь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 context</w:t>
      </w:r>
    </w:p>
    <w:p w14:paraId="40A8B838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— центральный объект передачи состояния между этапами.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Основные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ключи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>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2E6036" w:rsidRPr="003726B6" w14:paraId="62FD0580" w14:textId="77777777">
        <w:tc>
          <w:tcPr>
            <w:tcW w:w="4986" w:type="dxa"/>
          </w:tcPr>
          <w:p w14:paraId="23B0220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Ключ</w:t>
            </w:r>
          </w:p>
        </w:tc>
        <w:tc>
          <w:tcPr>
            <w:tcW w:w="4986" w:type="dxa"/>
          </w:tcPr>
          <w:p w14:paraId="3716065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Назначение</w:t>
            </w:r>
          </w:p>
        </w:tc>
      </w:tr>
      <w:tr w:rsidR="002E6036" w:rsidRPr="003726B6" w14:paraId="69BA4DBB" w14:textId="77777777">
        <w:tc>
          <w:tcPr>
            <w:tcW w:w="4986" w:type="dxa"/>
          </w:tcPr>
          <w:p w14:paraId="1FC8E28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AIM</w:t>
            </w:r>
          </w:p>
        </w:tc>
        <w:tc>
          <w:tcPr>
            <w:tcW w:w="4986" w:type="dxa"/>
          </w:tcPr>
          <w:p w14:paraId="78A8405E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Данные, считанные с маркировки.</w:t>
            </w:r>
          </w:p>
        </w:tc>
      </w:tr>
      <w:tr w:rsidR="002E6036" w:rsidRPr="003726B6" w14:paraId="632D340A" w14:textId="77777777">
        <w:tc>
          <w:tcPr>
            <w:tcW w:w="4986" w:type="dxa"/>
          </w:tcPr>
          <w:p w14:paraId="2B44FB3E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moduleInfo</w:t>
            </w:r>
          </w:p>
        </w:tc>
        <w:tc>
          <w:tcPr>
            <w:tcW w:w="4986" w:type="dxa"/>
          </w:tcPr>
          <w:p w14:paraId="10673A1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Сырые/подготовленные данные EEPROM.</w:t>
            </w:r>
          </w:p>
        </w:tc>
      </w:tr>
      <w:tr w:rsidR="002E6036" w:rsidRPr="003726B6" w14:paraId="2F9E4546" w14:textId="77777777">
        <w:tc>
          <w:tcPr>
            <w:tcW w:w="4986" w:type="dxa"/>
          </w:tcPr>
          <w:p w14:paraId="583244B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moduleType / moduleName</w:t>
            </w:r>
          </w:p>
        </w:tc>
        <w:tc>
          <w:tcPr>
            <w:tcW w:w="4986" w:type="dxa"/>
          </w:tcPr>
          <w:p w14:paraId="1B83F01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Тип и обозначение модуля.</w:t>
            </w:r>
          </w:p>
        </w:tc>
      </w:tr>
      <w:tr w:rsidR="002E6036" w:rsidRPr="003726B6" w14:paraId="590113F3" w14:textId="77777777">
        <w:tc>
          <w:tcPr>
            <w:tcW w:w="4986" w:type="dxa"/>
          </w:tcPr>
          <w:p w14:paraId="65D45AA1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moduleDNP / moduleDate</w:t>
            </w:r>
          </w:p>
        </w:tc>
        <w:tc>
          <w:tcPr>
            <w:tcW w:w="4986" w:type="dxa"/>
          </w:tcPr>
          <w:p w14:paraId="1EA5C847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DNP и дата.</w:t>
            </w:r>
          </w:p>
        </w:tc>
      </w:tr>
      <w:tr w:rsidR="002E6036" w:rsidRPr="003726B6" w14:paraId="0AC597EA" w14:textId="77777777">
        <w:tc>
          <w:tcPr>
            <w:tcW w:w="4986" w:type="dxa"/>
          </w:tcPr>
          <w:p w14:paraId="1967280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moduleChannels</w:t>
            </w:r>
          </w:p>
        </w:tc>
        <w:tc>
          <w:tcPr>
            <w:tcW w:w="4986" w:type="dxa"/>
          </w:tcPr>
          <w:p w14:paraId="257814E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Количество измерительных каналов.</w:t>
            </w:r>
          </w:p>
        </w:tc>
      </w:tr>
      <w:tr w:rsidR="002E6036" w:rsidRPr="003726B6" w14:paraId="798C309C" w14:textId="77777777">
        <w:tc>
          <w:tcPr>
            <w:tcW w:w="4986" w:type="dxa"/>
          </w:tcPr>
          <w:p w14:paraId="5961AAD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moduleInput</w:t>
            </w:r>
          </w:p>
        </w:tc>
        <w:tc>
          <w:tcPr>
            <w:tcW w:w="4986" w:type="dxa"/>
          </w:tcPr>
          <w:p w14:paraId="12E5161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Тип входа.</w:t>
            </w:r>
          </w:p>
        </w:tc>
      </w:tr>
      <w:tr w:rsidR="002E6036" w:rsidRPr="003726B6" w14:paraId="2CDB6495" w14:textId="77777777">
        <w:tc>
          <w:tcPr>
            <w:tcW w:w="4986" w:type="dxa"/>
          </w:tcPr>
          <w:p w14:paraId="1231D7D8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moduleUMin / moduleUMax</w:t>
            </w:r>
          </w:p>
        </w:tc>
        <w:tc>
          <w:tcPr>
            <w:tcW w:w="4986" w:type="dxa"/>
          </w:tcPr>
          <w:p w14:paraId="1D324706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 xml:space="preserve">Рабочий диапазон входного </w:t>
            </w: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lastRenderedPageBreak/>
              <w:t>напряжения.</w:t>
            </w:r>
          </w:p>
        </w:tc>
      </w:tr>
      <w:tr w:rsidR="002E6036" w:rsidRPr="003726B6" w14:paraId="704522AD" w14:textId="77777777">
        <w:tc>
          <w:tcPr>
            <w:tcW w:w="4986" w:type="dxa"/>
          </w:tcPr>
          <w:p w14:paraId="77AE72D4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lastRenderedPageBreak/>
              <w:t>SlotNumber</w:t>
            </w:r>
          </w:p>
        </w:tc>
        <w:tc>
          <w:tcPr>
            <w:tcW w:w="4986" w:type="dxa"/>
          </w:tcPr>
          <w:p w14:paraId="7A7832E3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Номер слота CTD-1620.</w:t>
            </w:r>
          </w:p>
        </w:tc>
      </w:tr>
      <w:tr w:rsidR="002E6036" w:rsidRPr="003726B6" w14:paraId="6D84E642" w14:textId="77777777">
        <w:tc>
          <w:tcPr>
            <w:tcW w:w="4986" w:type="dxa"/>
          </w:tcPr>
          <w:p w14:paraId="27503C9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ctd1620</w:t>
            </w:r>
          </w:p>
        </w:tc>
        <w:tc>
          <w:tcPr>
            <w:tcW w:w="4986" w:type="dxa"/>
          </w:tcPr>
          <w:p w14:paraId="4C302193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Объект драйвера CTD-1620.</w:t>
            </w:r>
          </w:p>
        </w:tc>
      </w:tr>
      <w:tr w:rsidR="002E6036" w:rsidRPr="003726B6" w14:paraId="3D686861" w14:textId="77777777">
        <w:tc>
          <w:tcPr>
            <w:tcW w:w="4986" w:type="dxa"/>
          </w:tcPr>
          <w:p w14:paraId="1E82545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agilent</w:t>
            </w:r>
          </w:p>
        </w:tc>
        <w:tc>
          <w:tcPr>
            <w:tcW w:w="4986" w:type="dxa"/>
          </w:tcPr>
          <w:p w14:paraId="08EB13EF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Объект драйвера Agilent 34401A.</w:t>
            </w:r>
          </w:p>
        </w:tc>
      </w:tr>
      <w:tr w:rsidR="002E6036" w:rsidRPr="003726B6" w14:paraId="28E24433" w14:textId="77777777">
        <w:tc>
          <w:tcPr>
            <w:tcW w:w="4986" w:type="dxa"/>
          </w:tcPr>
          <w:p w14:paraId="69791FB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generator</w:t>
            </w:r>
          </w:p>
        </w:tc>
        <w:tc>
          <w:tcPr>
            <w:tcW w:w="4986" w:type="dxa"/>
          </w:tcPr>
          <w:p w14:paraId="66C18398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Объект драйвера TGA1240.</w:t>
            </w:r>
          </w:p>
        </w:tc>
      </w:tr>
      <w:tr w:rsidR="002E6036" w:rsidRPr="003726B6" w14:paraId="5D0BCCBD" w14:textId="77777777">
        <w:tc>
          <w:tcPr>
            <w:tcW w:w="4986" w:type="dxa"/>
          </w:tcPr>
          <w:p w14:paraId="0B5F142C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logfile</w:t>
            </w:r>
          </w:p>
        </w:tc>
        <w:tc>
          <w:tcPr>
            <w:tcW w:w="4986" w:type="dxa"/>
          </w:tcPr>
          <w:p w14:paraId="5995A5F0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Открытый журнал текущего изделия.</w:t>
            </w:r>
          </w:p>
        </w:tc>
      </w:tr>
      <w:tr w:rsidR="002E6036" w:rsidRPr="003726B6" w14:paraId="6E634ABB" w14:textId="77777777">
        <w:tc>
          <w:tcPr>
            <w:tcW w:w="4986" w:type="dxa"/>
          </w:tcPr>
          <w:p w14:paraId="28BA65B9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fileName</w:t>
            </w:r>
          </w:p>
        </w:tc>
        <w:tc>
          <w:tcPr>
            <w:tcW w:w="4986" w:type="dxa"/>
          </w:tcPr>
          <w:p w14:paraId="11DD35B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Базовое имя файлов результатов.</w:t>
            </w:r>
          </w:p>
        </w:tc>
      </w:tr>
      <w:tr w:rsidR="002E6036" w:rsidRPr="003726B6" w14:paraId="71D90117" w14:textId="77777777">
        <w:tc>
          <w:tcPr>
            <w:tcW w:w="4986" w:type="dxa"/>
          </w:tcPr>
          <w:p w14:paraId="7236D52D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old_DNP</w:t>
            </w:r>
          </w:p>
        </w:tc>
        <w:tc>
          <w:tcPr>
            <w:tcW w:w="4986" w:type="dxa"/>
          </w:tcPr>
          <w:p w14:paraId="3C9D191B" w14:textId="77777777" w:rsidR="002E6036" w:rsidRPr="003726B6" w:rsidRDefault="00000000" w:rsidP="00CC5401">
            <w:pPr>
              <w:spacing w:line="360" w:lineRule="auto"/>
              <w:jc w:val="both"/>
              <w:rPr>
                <w:rFonts w:cs="Times New Roman"/>
                <w:color w:val="000000" w:themeColor="text1"/>
                <w:sz w:val="28"/>
                <w:szCs w:val="28"/>
              </w:rPr>
            </w:pPr>
            <w:r w:rsidRPr="003726B6">
              <w:rPr>
                <w:rFonts w:cs="Times New Roman"/>
                <w:color w:val="000000" w:themeColor="text1"/>
                <w:sz w:val="28"/>
                <w:szCs w:val="28"/>
              </w:rPr>
              <w:t>Сохранённый DNP предыдущего изделия.</w:t>
            </w:r>
          </w:p>
        </w:tc>
      </w:tr>
    </w:tbl>
    <w:p w14:paraId="2D0BB8DB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Важно: добавление обязательного ключа требует проверки всех функций, принимающих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. В перспективе словарь целесообразно заменить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dataclass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, например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StandContext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.</w:t>
      </w:r>
    </w:p>
    <w:p w14:paraId="35BF79CF" w14:textId="554ACF23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726B6">
        <w:rPr>
          <w:rFonts w:ascii="Times New Roman" w:hAnsi="Times New Roman" w:cs="Times New Roman"/>
          <w:color w:val="000000" w:themeColor="text1"/>
          <w:lang w:val="ru-RU"/>
        </w:rPr>
        <w:t xml:space="preserve">Подготовка стенда: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PrepareStand</w:t>
      </w:r>
      <w:proofErr w:type="spellEnd"/>
    </w:p>
    <w:p w14:paraId="0DB0C249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PrepareStand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является границей между пользовательским сценарием и измерительной частью. Функция получает уже созданные объекты </w:t>
      </w:r>
      <w:r w:rsidRPr="003726B6">
        <w:rPr>
          <w:rFonts w:cs="Times New Roman"/>
          <w:color w:val="000000" w:themeColor="text1"/>
          <w:sz w:val="28"/>
          <w:szCs w:val="28"/>
        </w:rPr>
        <w:t>Agilent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генератора, считывает маркировку </w:t>
      </w:r>
      <w:r w:rsidRPr="003726B6">
        <w:rPr>
          <w:rFonts w:cs="Times New Roman"/>
          <w:color w:val="000000" w:themeColor="text1"/>
          <w:sz w:val="28"/>
          <w:szCs w:val="28"/>
        </w:rPr>
        <w:t>AIM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, предлагает оператору установить плату, создаёт и подключает </w:t>
      </w:r>
      <w:r w:rsidRPr="003726B6">
        <w:rPr>
          <w:rFonts w:cs="Times New Roman"/>
          <w:color w:val="000000" w:themeColor="text1"/>
          <w:sz w:val="28"/>
          <w:szCs w:val="28"/>
        </w:rPr>
        <w:t>CTD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1620, вызывает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PrepareModuleInfo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возвращает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. При рефакторинге желательно не добавлять в эту функцию сами измерительные тесты: её ответственность — только подготовка окружения.</w:t>
      </w:r>
    </w:p>
    <w:p w14:paraId="511A13F4" w14:textId="3E92CF4B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726B6">
        <w:rPr>
          <w:rFonts w:ascii="Times New Roman" w:hAnsi="Times New Roman" w:cs="Times New Roman"/>
          <w:color w:val="000000" w:themeColor="text1"/>
          <w:lang w:val="ru-RU"/>
        </w:rPr>
        <w:t>Проверка калибровки</w:t>
      </w:r>
    </w:p>
    <w:p w14:paraId="707C62A3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GetCalibrationInfoAIM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получает необходимые параметры из </w:t>
      </w:r>
      <w:r w:rsidRPr="003726B6">
        <w:rPr>
          <w:rFonts w:cs="Times New Roman"/>
          <w:color w:val="000000" w:themeColor="text1"/>
          <w:sz w:val="28"/>
          <w:szCs w:val="28"/>
        </w:rPr>
        <w:t>context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проверяет </w:t>
      </w:r>
      <w:r w:rsidRPr="003726B6">
        <w:rPr>
          <w:rFonts w:cs="Times New Roman"/>
          <w:color w:val="000000" w:themeColor="text1"/>
          <w:sz w:val="28"/>
          <w:szCs w:val="28"/>
        </w:rPr>
        <w:t>CALB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в </w:t>
      </w:r>
      <w:r w:rsidRPr="003726B6">
        <w:rPr>
          <w:rFonts w:cs="Times New Roman"/>
          <w:color w:val="000000" w:themeColor="text1"/>
          <w:sz w:val="28"/>
          <w:szCs w:val="28"/>
        </w:rPr>
        <w:t>EEPROM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. Управляющий код ожидает состояния, эквивалентные </w:t>
      </w:r>
      <w:r w:rsidRPr="003726B6">
        <w:rPr>
          <w:rFonts w:cs="Times New Roman"/>
          <w:color w:val="000000" w:themeColor="text1"/>
          <w:sz w:val="28"/>
          <w:szCs w:val="28"/>
        </w:rPr>
        <w:t>NOT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3726B6">
        <w:rPr>
          <w:rFonts w:cs="Times New Roman"/>
          <w:color w:val="000000" w:themeColor="text1"/>
          <w:sz w:val="28"/>
          <w:szCs w:val="28"/>
        </w:rPr>
        <w:t>FOUND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, </w:t>
      </w:r>
      <w:r w:rsidRPr="003726B6">
        <w:rPr>
          <w:rFonts w:cs="Times New Roman"/>
          <w:color w:val="000000" w:themeColor="text1"/>
          <w:sz w:val="28"/>
          <w:szCs w:val="28"/>
        </w:rPr>
        <w:t>FAILED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3726B6">
        <w:rPr>
          <w:rFonts w:cs="Times New Roman"/>
          <w:color w:val="000000" w:themeColor="text1"/>
          <w:sz w:val="28"/>
          <w:szCs w:val="28"/>
        </w:rPr>
        <w:t>OK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. При изменении набора возвращаемых значений необходимо одновременно обновлять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processModule</w:t>
      </w:r>
      <w:proofErr w:type="spellEnd"/>
      <w:r w:rsidRPr="003726B6">
        <w:rPr>
          <w:rFonts w:cs="Times New Roman"/>
          <w:color w:val="000000" w:themeColor="text1"/>
          <w:sz w:val="28"/>
          <w:szCs w:val="28"/>
          <w:lang w:val="ru-RU"/>
        </w:rPr>
        <w:t>, иначе сценарий запуска может перейти в неизвестную ветку.</w:t>
      </w:r>
    </w:p>
    <w:p w14:paraId="6EE0EFBD" w14:textId="3443F3E0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  <w:r w:rsidRPr="003726B6">
        <w:rPr>
          <w:rFonts w:ascii="Times New Roman" w:hAnsi="Times New Roman" w:cs="Times New Roman"/>
          <w:color w:val="000000" w:themeColor="text1"/>
          <w:lang w:val="ru-RU"/>
        </w:rPr>
        <w:lastRenderedPageBreak/>
        <w:t xml:space="preserve">Тестирование: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RunTestAIM</w:t>
      </w:r>
      <w:proofErr w:type="spellEnd"/>
    </w:p>
    <w:p w14:paraId="465A0E7C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Последовательность текущего полного теста:</w:t>
      </w:r>
    </w:p>
    <w:p w14:paraId="07EA8963" w14:textId="456BAEA6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расчёт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безопасных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уровней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генератора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4BA54260" w14:textId="62E35E71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выходных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линий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1DF04B8C" w14:textId="05CED928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настройка генератора и </w:t>
      </w:r>
      <w:r w:rsidRPr="003726B6">
        <w:rPr>
          <w:rFonts w:cs="Times New Roman"/>
          <w:color w:val="000000" w:themeColor="text1"/>
          <w:sz w:val="28"/>
          <w:szCs w:val="28"/>
        </w:rPr>
        <w:t>Agilent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для </w:t>
      </w:r>
      <w:r w:rsidRPr="003726B6">
        <w:rPr>
          <w:rFonts w:cs="Times New Roman"/>
          <w:color w:val="000000" w:themeColor="text1"/>
          <w:sz w:val="28"/>
          <w:szCs w:val="28"/>
        </w:rPr>
        <w:t>DC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268EF834" w14:textId="637F6DCB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DC-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измерительных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каналов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55D49B29" w14:textId="6F4DC7BE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AC-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измерительных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каналов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58515D8B" w14:textId="68AE871C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DC-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AUX</w:t>
      </w:r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447E7BAE" w14:textId="3FC75113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r w:rsidRPr="003726B6">
        <w:rPr>
          <w:rFonts w:cs="Times New Roman"/>
          <w:color w:val="000000" w:themeColor="text1"/>
          <w:sz w:val="28"/>
          <w:szCs w:val="28"/>
        </w:rPr>
        <w:t>AC-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проверка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AUX</w:t>
      </w:r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435BA86A" w14:textId="77777777" w:rsidR="002E6036" w:rsidRPr="003726B6" w:rsidRDefault="00000000" w:rsidP="00CC5401">
      <w:pPr>
        <w:pStyle w:val="a0"/>
        <w:numPr>
          <w:ilvl w:val="0"/>
          <w:numId w:val="14"/>
        </w:numPr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формирование общего результата и отправка/обработка журнала.</w:t>
      </w:r>
    </w:p>
    <w:p w14:paraId="2E58BB0F" w14:textId="77777777" w:rsidR="002E6036" w:rsidRPr="003726B6" w:rsidRDefault="00000000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Общий тест считается успешным только при успешном результате всех четырёх основных измерительных проверок.</w:t>
      </w:r>
    </w:p>
    <w:p w14:paraId="1D0CEC0B" w14:textId="2C7149FF" w:rsidR="002E6036" w:rsidRPr="003726B6" w:rsidRDefault="00000000" w:rsidP="00E9673F">
      <w:pPr>
        <w:pStyle w:val="1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  <w:proofErr w:type="spellStart"/>
      <w:r w:rsidRPr="003726B6">
        <w:rPr>
          <w:rFonts w:ascii="Times New Roman" w:hAnsi="Times New Roman" w:cs="Times New Roman"/>
          <w:color w:val="000000" w:themeColor="text1"/>
        </w:rPr>
        <w:t>Калибровка</w:t>
      </w:r>
      <w:proofErr w:type="spellEnd"/>
      <w:r w:rsidRPr="003726B6">
        <w:rPr>
          <w:rFonts w:ascii="Times New Roman" w:hAnsi="Times New Roman" w:cs="Times New Roman"/>
          <w:color w:val="000000" w:themeColor="text1"/>
        </w:rPr>
        <w:t xml:space="preserve">: </w:t>
      </w:r>
      <w:proofErr w:type="spellStart"/>
      <w:r w:rsidRPr="003726B6">
        <w:rPr>
          <w:rFonts w:ascii="Times New Roman" w:hAnsi="Times New Roman" w:cs="Times New Roman"/>
          <w:color w:val="000000" w:themeColor="text1"/>
        </w:rPr>
        <w:t>RunCalibrationAIM</w:t>
      </w:r>
      <w:proofErr w:type="spellEnd"/>
    </w:p>
    <w:p w14:paraId="13C82150" w14:textId="6EC81FDB" w:rsidR="002E6036" w:rsidRPr="00CC5401" w:rsidRDefault="00000000" w:rsidP="00CC5401">
      <w:pPr>
        <w:pStyle w:val="a"/>
        <w:numPr>
          <w:ilvl w:val="0"/>
          <w:numId w:val="13"/>
        </w:numPr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CC5401">
        <w:rPr>
          <w:rFonts w:cs="Times New Roman"/>
          <w:color w:val="000000" w:themeColor="text1"/>
          <w:sz w:val="28"/>
          <w:szCs w:val="28"/>
          <w:lang w:val="ru-RU"/>
        </w:rPr>
        <w:t>рассчитать безопасные верхнюю и нижнюю точки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7FB2C031" w14:textId="1FEFD002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сбросить коэффициенты </w:t>
      </w:r>
      <w:r w:rsidRPr="003726B6">
        <w:rPr>
          <w:rFonts w:cs="Times New Roman"/>
          <w:color w:val="000000" w:themeColor="text1"/>
          <w:sz w:val="28"/>
          <w:szCs w:val="28"/>
        </w:rPr>
        <w:t>Gain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=1 и </w:t>
      </w:r>
      <w:r w:rsidRPr="003726B6">
        <w:rPr>
          <w:rFonts w:cs="Times New Roman"/>
          <w:color w:val="000000" w:themeColor="text1"/>
          <w:sz w:val="28"/>
          <w:szCs w:val="28"/>
        </w:rPr>
        <w:t>Offset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>=0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0784189B" w14:textId="3150D6E5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записать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исходную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калибровку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71B0AF13" w14:textId="08A1B0C4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измерить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верхнюю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точку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223951A8" w14:textId="31151B52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измерить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нижнюю</w:t>
      </w:r>
      <w:proofErr w:type="spellEnd"/>
      <w:r w:rsidRPr="003726B6"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726B6">
        <w:rPr>
          <w:rFonts w:cs="Times New Roman"/>
          <w:color w:val="000000" w:themeColor="text1"/>
          <w:sz w:val="28"/>
          <w:szCs w:val="28"/>
        </w:rPr>
        <w:t>точку</w:t>
      </w:r>
      <w:proofErr w:type="spellEnd"/>
      <w:r w:rsidR="00CC5401">
        <w:rPr>
          <w:rFonts w:cs="Times New Roman"/>
          <w:color w:val="000000" w:themeColor="text1"/>
          <w:sz w:val="28"/>
          <w:szCs w:val="28"/>
        </w:rPr>
        <w:t>,</w:t>
      </w:r>
    </w:p>
    <w:p w14:paraId="0BFE6723" w14:textId="6ECC60C2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рассчитать </w:t>
      </w:r>
      <w:r w:rsidRPr="003726B6">
        <w:rPr>
          <w:rFonts w:cs="Times New Roman"/>
          <w:color w:val="000000" w:themeColor="text1"/>
          <w:sz w:val="28"/>
          <w:szCs w:val="28"/>
        </w:rPr>
        <w:t>Gain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и </w:t>
      </w:r>
      <w:r w:rsidRPr="003726B6">
        <w:rPr>
          <w:rFonts w:cs="Times New Roman"/>
          <w:color w:val="000000" w:themeColor="text1"/>
          <w:sz w:val="28"/>
          <w:szCs w:val="28"/>
        </w:rPr>
        <w:t>Offset</w:t>
      </w: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 для каналов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39C759AB" w14:textId="2F48151A" w:rsidR="002E6036" w:rsidRPr="003726B6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 xml:space="preserve">записать рассчитанные коэффициенты в </w:t>
      </w:r>
      <w:r w:rsidRPr="003726B6">
        <w:rPr>
          <w:rFonts w:cs="Times New Roman"/>
          <w:color w:val="000000" w:themeColor="text1"/>
          <w:sz w:val="28"/>
          <w:szCs w:val="28"/>
        </w:rPr>
        <w:t>EEPROM</w:t>
      </w:r>
      <w:r w:rsidR="00CC5401">
        <w:rPr>
          <w:rFonts w:cs="Times New Roman"/>
          <w:color w:val="000000" w:themeColor="text1"/>
          <w:sz w:val="28"/>
          <w:szCs w:val="28"/>
          <w:lang w:val="ru-RU"/>
        </w:rPr>
        <w:t>,</w:t>
      </w:r>
    </w:p>
    <w:p w14:paraId="16739527" w14:textId="77777777" w:rsidR="00E9673F" w:rsidRDefault="00000000" w:rsidP="00CC5401">
      <w:pPr>
        <w:pStyle w:val="a"/>
        <w:tabs>
          <w:tab w:val="clear" w:pos="360"/>
          <w:tab w:val="num" w:pos="567"/>
        </w:tabs>
        <w:spacing w:line="360" w:lineRule="auto"/>
        <w:ind w:left="567" w:firstLine="284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3726B6">
        <w:rPr>
          <w:rFonts w:cs="Times New Roman"/>
          <w:color w:val="000000" w:themeColor="text1"/>
          <w:sz w:val="28"/>
          <w:szCs w:val="28"/>
          <w:lang w:val="ru-RU"/>
        </w:rPr>
        <w:t>вернуть итоговый результат вызывающему коду.</w:t>
      </w:r>
    </w:p>
    <w:p w14:paraId="37630F2F" w14:textId="77777777" w:rsidR="00CC5401" w:rsidRPr="00CC5401" w:rsidRDefault="00CC5401" w:rsidP="00CC5401">
      <w:pPr>
        <w:spacing w:line="360" w:lineRule="auto"/>
        <w:jc w:val="both"/>
        <w:rPr>
          <w:rFonts w:cs="Times New Roman"/>
          <w:b/>
          <w:bCs/>
          <w:color w:val="000000" w:themeColor="text1"/>
          <w:sz w:val="28"/>
          <w:szCs w:val="28"/>
          <w:lang w:val="ru-RU"/>
        </w:rPr>
      </w:pPr>
    </w:p>
    <w:p w14:paraId="3A330320" w14:textId="77777777" w:rsidR="005401CD" w:rsidRPr="00CC5401" w:rsidRDefault="005401CD" w:rsidP="00CC5401">
      <w:pPr>
        <w:pStyle w:val="p1"/>
        <w:spacing w:line="360" w:lineRule="auto"/>
      </w:pPr>
    </w:p>
    <w:p w14:paraId="2580E778" w14:textId="77777777" w:rsidR="005401CD" w:rsidRPr="005401CD" w:rsidRDefault="005401CD" w:rsidP="00CC5401">
      <w:pPr>
        <w:pStyle w:val="p1"/>
        <w:spacing w:line="360" w:lineRule="auto"/>
      </w:pPr>
    </w:p>
    <w:p w14:paraId="3E2FDA4D" w14:textId="400CC96C" w:rsidR="005401CD" w:rsidRPr="005401CD" w:rsidRDefault="005401CD" w:rsidP="00CC5401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</w:p>
    <w:sectPr w:rsidR="005401CD" w:rsidRPr="005401CD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286CD2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A06973"/>
    <w:multiLevelType w:val="hybridMultilevel"/>
    <w:tmpl w:val="8078240C"/>
    <w:lvl w:ilvl="0" w:tplc="E264972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7B85EC2"/>
    <w:multiLevelType w:val="hybridMultilevel"/>
    <w:tmpl w:val="D05E4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2B01E2"/>
    <w:multiLevelType w:val="hybridMultilevel"/>
    <w:tmpl w:val="57E08142"/>
    <w:lvl w:ilvl="0" w:tplc="E39C6BD6">
      <w:start w:val="1"/>
      <w:numFmt w:val="decimal"/>
      <w:lvlText w:val="%1."/>
      <w:lvlJc w:val="left"/>
      <w:pPr>
        <w:ind w:left="1211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624A71AD"/>
    <w:multiLevelType w:val="hybridMultilevel"/>
    <w:tmpl w:val="67C69072"/>
    <w:lvl w:ilvl="0" w:tplc="E2649728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176DB0"/>
    <w:multiLevelType w:val="hybridMultilevel"/>
    <w:tmpl w:val="2F844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5716571">
    <w:abstractNumId w:val="8"/>
  </w:num>
  <w:num w:numId="2" w16cid:durableId="1568610975">
    <w:abstractNumId w:val="6"/>
  </w:num>
  <w:num w:numId="3" w16cid:durableId="961573389">
    <w:abstractNumId w:val="5"/>
  </w:num>
  <w:num w:numId="4" w16cid:durableId="1858155716">
    <w:abstractNumId w:val="4"/>
  </w:num>
  <w:num w:numId="5" w16cid:durableId="181670823">
    <w:abstractNumId w:val="7"/>
  </w:num>
  <w:num w:numId="6" w16cid:durableId="904990641">
    <w:abstractNumId w:val="3"/>
  </w:num>
  <w:num w:numId="7" w16cid:durableId="907500647">
    <w:abstractNumId w:val="2"/>
  </w:num>
  <w:num w:numId="8" w16cid:durableId="958800206">
    <w:abstractNumId w:val="1"/>
  </w:num>
  <w:num w:numId="9" w16cid:durableId="1605962129">
    <w:abstractNumId w:val="0"/>
  </w:num>
  <w:num w:numId="10" w16cid:durableId="994532834">
    <w:abstractNumId w:val="7"/>
    <w:lvlOverride w:ilvl="0">
      <w:startOverride w:val="1"/>
    </w:lvlOverride>
  </w:num>
  <w:num w:numId="11" w16cid:durableId="1018846503">
    <w:abstractNumId w:val="12"/>
  </w:num>
  <w:num w:numId="12" w16cid:durableId="948581181">
    <w:abstractNumId w:val="11"/>
  </w:num>
  <w:num w:numId="13" w16cid:durableId="1860971117">
    <w:abstractNumId w:val="7"/>
    <w:lvlOverride w:ilvl="0">
      <w:startOverride w:val="1"/>
    </w:lvlOverride>
  </w:num>
  <w:num w:numId="14" w16cid:durableId="1675066929">
    <w:abstractNumId w:val="9"/>
  </w:num>
  <w:num w:numId="15" w16cid:durableId="180554709">
    <w:abstractNumId w:val="13"/>
  </w:num>
  <w:num w:numId="16" w16cid:durableId="19936191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6036"/>
    <w:rsid w:val="00300D46"/>
    <w:rsid w:val="00326F90"/>
    <w:rsid w:val="003726B6"/>
    <w:rsid w:val="005401CD"/>
    <w:rsid w:val="00777EF0"/>
    <w:rsid w:val="007E1E63"/>
    <w:rsid w:val="00870D28"/>
    <w:rsid w:val="00AA1D8D"/>
    <w:rsid w:val="00B47730"/>
    <w:rsid w:val="00CB0664"/>
    <w:rsid w:val="00CC5401"/>
    <w:rsid w:val="00DD6061"/>
    <w:rsid w:val="00E967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B1ABE"/>
  <w14:defaultImageDpi w14:val="300"/>
  <w15:docId w15:val="{796F4650-559F-9A4F-938B-9A0AEB40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5401C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customStyle="1" w:styleId="apple-converted-space">
    <w:name w:val="apple-converted-space"/>
    <w:basedOn w:val="a2"/>
    <w:rsid w:val="00DD6061"/>
  </w:style>
  <w:style w:type="character" w:customStyle="1" w:styleId="s1">
    <w:name w:val="s1"/>
    <w:basedOn w:val="a2"/>
    <w:rsid w:val="00DD6061"/>
  </w:style>
  <w:style w:type="paragraph" w:customStyle="1" w:styleId="p2">
    <w:name w:val="p2"/>
    <w:basedOn w:val="a1"/>
    <w:rsid w:val="00DD606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DD60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946</Words>
  <Characters>5398</Characters>
  <Application>Microsoft Office Word</Application>
  <DocSecurity>0</DocSecurity>
  <Lines>44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2</cp:revision>
  <dcterms:created xsi:type="dcterms:W3CDTF">2013-12-23T23:15:00Z</dcterms:created>
  <dcterms:modified xsi:type="dcterms:W3CDTF">2026-07-22T13:25:00Z</dcterms:modified>
  <cp:category/>
</cp:coreProperties>
</file>