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Автономная некоммерческая организация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профессиональная образовательная организация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Московский Международный Колледж Цифровых Технологий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«Академия </w:t>
      </w:r>
      <w:r>
        <w:rPr>
          <w:rFonts w:ascii="Times New Roman" w:hAnsi="Times New Roman"/>
          <w:sz w:val="26"/>
          <w:szCs w:val="26"/>
        </w:rPr>
        <w:t xml:space="preserve">ТОП</w:t>
      </w:r>
      <w:r>
        <w:rPr>
          <w:rFonts w:ascii="Times New Roman" w:hAnsi="Times New Roman"/>
          <w:color w:val="000000"/>
          <w:sz w:val="26"/>
          <w:szCs w:val="26"/>
        </w:rPr>
        <w:t xml:space="preserve">»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881"/>
        <w:tblW w:w="10281" w:type="dxa"/>
        <w:tblLayout w:type="fixed"/>
        <w:tblLook w:val="0400" w:firstRow="0" w:lastRow="0" w:firstColumn="0" w:lastColumn="0" w:noHBand="0" w:noVBand="1"/>
      </w:tblPr>
      <w:tblGrid>
        <w:gridCol w:w="5920"/>
        <w:gridCol w:w="4361"/>
      </w:tblGrid>
      <w:tr>
        <w:tblPrEx/>
        <w:trPr>
          <w:trHeight w:val="1610"/>
        </w:trPr>
        <w:tc>
          <w:tcPr>
            <w:tcW w:w="592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b/>
                <w:smallCaps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                      </w:t>
            </w:r>
            <w:r>
              <w:rPr>
                <w:rFonts w:ascii="Times New Roman" w:hAnsi="Times New Roman"/>
                <w:b/>
                <w:smallCaps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mallCaps/>
                <w:sz w:val="26"/>
                <w:szCs w:val="26"/>
              </w:rPr>
            </w:r>
          </w:p>
        </w:tc>
        <w:tc>
          <w:tcPr>
            <w:tcW w:w="436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УТВЕРЖДАЮ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spacing w:after="0" w:line="240" w:lineRule="auto"/>
              <w:widowControl w:val="off"/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Директор АНО ПОО ММКЦТ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spacing w:after="0" w:line="240" w:lineRule="auto"/>
              <w:widowControl w:val="off"/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«Академия ТОП»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spacing w:after="0" w:line="240" w:lineRule="auto"/>
              <w:widowControl w:val="off"/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______________   Ю.В.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Шелюто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spacing w:after="0" w:line="240" w:lineRule="auto"/>
              <w:widowControl w:val="off"/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«____» ______________ 202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3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г.   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</w:tc>
      </w:tr>
    </w:tbl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МЕТОДИЧЕСКИЕ УКАЗАНИЯ 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по оформлению 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выпускной квалификационной работы 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(дипломного проекта)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Организация-разработчик: </w:t>
      </w:r>
      <w:r>
        <w:rPr>
          <w:rFonts w:ascii="Times New Roman" w:hAnsi="Times New Roman"/>
          <w:sz w:val="26"/>
          <w:szCs w:val="26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Правообладатель программы:</w:t>
      </w:r>
      <w:r>
        <w:rPr>
          <w:rFonts w:ascii="Times New Roman" w:hAnsi="Times New Roman"/>
          <w:sz w:val="26"/>
          <w:szCs w:val="26"/>
        </w:rPr>
        <w:t xml:space="preserve">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Москва, 121170, Кутузовский проспект, дом. 36, строение 2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+7(495)151-19-01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567"/>
        <w:jc w:val="center"/>
        <w:spacing w:after="0" w:line="240" w:lineRule="auto"/>
        <w:tabs>
          <w:tab w:val="left" w:pos="615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Москва, 202</w:t>
      </w:r>
      <w:r>
        <w:rPr>
          <w:rFonts w:ascii="Times New Roman" w:hAnsi="Times New Roman"/>
          <w:sz w:val="26"/>
          <w:szCs w:val="26"/>
        </w:rPr>
        <w:t xml:space="preserve">3</w:t>
      </w:r>
      <w:r>
        <w:br w:type="page" w:clear="all"/>
      </w:r>
      <w:r>
        <w:rPr>
          <w:rFonts w:ascii="Times New Roman" w:hAnsi="Times New Roman"/>
          <w:b/>
          <w:sz w:val="26"/>
          <w:szCs w:val="26"/>
        </w:rPr>
        <w:t xml:space="preserve">Содержание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numPr>
          <w:ilvl w:val="0"/>
          <w:numId w:val="4"/>
        </w:numPr>
        <w:ind w:left="426" w:hanging="426"/>
        <w:spacing w:after="0" w:line="240" w:lineRule="auto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Общие положения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4"/>
        </w:numPr>
        <w:ind w:left="426" w:hanging="426"/>
        <w:spacing w:after="0" w:line="240" w:lineRule="auto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Порядок представления к защите выпускной квалификационной работы (дипломного проекта)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4"/>
        </w:numPr>
        <w:ind w:left="426" w:hanging="426"/>
        <w:spacing w:after="0" w:line="240" w:lineRule="auto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Общие сведения о структуре ВКР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4"/>
        </w:numPr>
        <w:ind w:left="426" w:hanging="426"/>
        <w:spacing w:after="0" w:line="240" w:lineRule="auto"/>
        <w:tabs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Общие требования к оформлению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4"/>
        </w:numPr>
        <w:ind w:left="426" w:hanging="426"/>
        <w:spacing w:after="0" w:line="240" w:lineRule="auto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Требования к содержанию структурных элементов текстовой части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5.1. Общие требования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5.2. Разделы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5.3. Перечисления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5.4. Таблицы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5.5. Иллюстрации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5.6. Диаграммы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5.7. Формулы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5.8. Величины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5.9. Сокращения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5.10. Примечания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5.11. Сноски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5.12. Схемы алгоритмов, программ, данных и систем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5.13. Приложения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294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5.14. Список использованных источников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6. Кодирование письменных студенческих работ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Приложение А Оформление обложки ВКР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Приложение Б Оформление титульного листа ВКР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Приложение В Бланк «Задание на выполнение ВКР»</w:t>
      </w:r>
      <w:r>
        <w:rPr>
          <w:rFonts w:ascii="Times New Roman" w:hAnsi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/>
          <w:color w:val="000000"/>
          <w:sz w:val="26"/>
          <w:szCs w:val="26"/>
          <w:highlight w:val="none"/>
        </w:rPr>
      </w:r>
    </w:p>
    <w:p>
      <w:pPr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Приложение Г Бланк «Отзыв руководителя о ВКР»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Приложение Д Бланк «Лист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ВКР»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Приложение Е Бланк «Рецензия на ВКР»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Приложение Ж Оформление аннотации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Приложение И Оформление содержания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Приложение К Оформление диаграмм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Приложение Л Примеры библиографической записи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left="720" w:hanging="294"/>
        <w:spacing w:after="0" w:line="240" w:lineRule="auto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br w:type="page" w:clear="all"/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1. Общие положения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Методические указания по оформлению выпускной квалификационной работы (дипломного проекта) (далее - Методические указания) устанавливают общие требования к структуре и правилам оформления выпускных квалификационных работ (дипломных проектов) (далее - ВКР)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Методические указания разработаны с учетом следующих документов: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19.701-90 (ИСО 5807-85) Единая система программной документации. Схемы алгоритмов, программ, данных и систем. Обозначения условные и правила выполнения.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19.504-79 Единая система программной документации. Руководство программиста. Требования к содержанию и оформлению.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Р 7.0.12-2011 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19.401-78 Единая система программной документации. Текст программы. Требования к содержанию и оформлению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7.11-2004 (ИСО 832:1994) Система стандартов по информации, библиотечному и издательскому делу. Библиографическая запись. Сокращение слов и словосочетаний. На иностранных европейских языках.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2.111-2013 Единая система конструкторской документации. </w:t>
      </w:r>
      <w:r>
        <w:rPr>
          <w:rFonts w:ascii="Times New Roman" w:hAnsi="Times New Roman"/>
          <w:sz w:val="26"/>
          <w:szCs w:val="26"/>
        </w:rPr>
        <w:t xml:space="preserve">Нормоконтроль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3.1116-2011 Единая система технологической документации. </w:t>
      </w:r>
      <w:r>
        <w:rPr>
          <w:rFonts w:ascii="Times New Roman" w:hAnsi="Times New Roman"/>
          <w:sz w:val="26"/>
          <w:szCs w:val="26"/>
        </w:rPr>
        <w:t xml:space="preserve">Нормоконтроль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2.004-88 Единая система конструкторской документации. Общие требования к выполнению конструкторских и технологических документов на печатающих и графических устройствах вывода ЭВМ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8.417-2002 Государственная система обеспечения единства измерений. Единицы величин.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 50-77-88 Единая система конструкторской документации. Правила выполнения диаграмм.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2. Порядок представления к защите выпускной квалификационной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работы (дипломного проекта)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К защите выпускной квалификационной работы (дипломного проекта) допускаются обучающиеся, не имеющий академической задолженности и в полном объеме выполнившие учебный план или индивидуальный учебный план по соответствующей образовательной программе.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Завершенная ВКР проходит </w:t>
      </w:r>
      <w:r>
        <w:rPr>
          <w:rFonts w:ascii="Times New Roman" w:hAnsi="Times New Roman"/>
          <w:sz w:val="26"/>
          <w:szCs w:val="26"/>
        </w:rPr>
        <w:t xml:space="preserve">нормализационный</w:t>
      </w:r>
      <w:r>
        <w:rPr>
          <w:rFonts w:ascii="Times New Roman" w:hAnsi="Times New Roman"/>
          <w:sz w:val="26"/>
          <w:szCs w:val="26"/>
        </w:rPr>
        <w:t xml:space="preserve"> контроль (</w:t>
      </w:r>
      <w:r>
        <w:rPr>
          <w:rFonts w:ascii="Times New Roman" w:hAnsi="Times New Roman"/>
          <w:sz w:val="26"/>
          <w:szCs w:val="26"/>
        </w:rPr>
        <w:t xml:space="preserve">нормоконтроль</w:t>
      </w:r>
      <w:r>
        <w:rPr>
          <w:rFonts w:ascii="Times New Roman" w:hAnsi="Times New Roman"/>
          <w:sz w:val="26"/>
          <w:szCs w:val="26"/>
        </w:rPr>
        <w:t xml:space="preserve">). На </w:t>
      </w:r>
      <w:r>
        <w:rPr>
          <w:rFonts w:ascii="Times New Roman" w:hAnsi="Times New Roman"/>
          <w:sz w:val="26"/>
          <w:szCs w:val="26"/>
        </w:rPr>
        <w:t xml:space="preserve">нормоконтроль</w:t>
      </w:r>
      <w:r>
        <w:rPr>
          <w:rFonts w:ascii="Times New Roman" w:hAnsi="Times New Roman"/>
          <w:sz w:val="26"/>
          <w:szCs w:val="26"/>
        </w:rPr>
        <w:t xml:space="preserve"> обучающимся представляются: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numPr>
          <w:ilvl w:val="0"/>
          <w:numId w:val="6"/>
        </w:numPr>
        <w:ind w:left="0"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оформленный бланк обложки ВКР (приложение А);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6"/>
        </w:numPr>
        <w:ind w:left="0"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оформленный и подписанный студентом и руководителем ВКР титульный лист (приложение Б);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6"/>
        </w:numPr>
        <w:ind w:left="0"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заполненный и утвержденный бланк «Задание на выполнение ВКР» (приложение В);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6"/>
        </w:numPr>
        <w:ind w:left="0"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оформленный и подписанный бланк «Отзыв руководителя о ВКР» (приложение Г).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Материалы на </w:t>
      </w:r>
      <w:r>
        <w:rPr>
          <w:rFonts w:ascii="Times New Roman" w:hAnsi="Times New Roman"/>
          <w:sz w:val="26"/>
          <w:szCs w:val="26"/>
        </w:rPr>
        <w:t xml:space="preserve">нормоконтроль</w:t>
      </w:r>
      <w:r>
        <w:rPr>
          <w:rFonts w:ascii="Times New Roman" w:hAnsi="Times New Roman"/>
          <w:sz w:val="26"/>
          <w:szCs w:val="26"/>
        </w:rPr>
        <w:t xml:space="preserve"> представляются в несброшюрованном виде.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Бланк «Лист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ВКР» приведен в приложении Д.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Нормоконтроль</w:t>
      </w:r>
      <w:r>
        <w:rPr>
          <w:rFonts w:ascii="Times New Roman" w:hAnsi="Times New Roman"/>
          <w:sz w:val="26"/>
          <w:szCs w:val="26"/>
        </w:rPr>
        <w:t xml:space="preserve"> осуществляют специально назначенные преподаватели предметно-цикловой комиссии информационных систем и программирования.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 проведении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 </w:t>
      </w:r>
      <w:r>
        <w:rPr>
          <w:rFonts w:ascii="Times New Roman" w:hAnsi="Times New Roman"/>
          <w:sz w:val="26"/>
          <w:szCs w:val="26"/>
        </w:rPr>
        <w:t xml:space="preserve">нормоконтролер</w:t>
      </w:r>
      <w:r>
        <w:rPr>
          <w:rFonts w:ascii="Times New Roman" w:hAnsi="Times New Roman"/>
          <w:sz w:val="26"/>
          <w:szCs w:val="26"/>
        </w:rPr>
        <w:t xml:space="preserve"> руководствуется только действующими стандартами.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бланке «Лист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ВКР» </w:t>
      </w:r>
      <w:r>
        <w:rPr>
          <w:rFonts w:ascii="Times New Roman" w:hAnsi="Times New Roman"/>
          <w:sz w:val="26"/>
          <w:szCs w:val="26"/>
        </w:rPr>
        <w:t xml:space="preserve">нормоконтролер</w:t>
      </w:r>
      <w:r>
        <w:rPr>
          <w:rFonts w:ascii="Times New Roman" w:hAnsi="Times New Roman"/>
          <w:sz w:val="26"/>
          <w:szCs w:val="26"/>
        </w:rPr>
        <w:t xml:space="preserve"> кратко и ясно излагает содержание замечаний и предложений.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Изменения и исправления, указанные </w:t>
      </w:r>
      <w:r>
        <w:rPr>
          <w:rFonts w:ascii="Times New Roman" w:hAnsi="Times New Roman"/>
          <w:sz w:val="26"/>
          <w:szCs w:val="26"/>
        </w:rPr>
        <w:t xml:space="preserve">нормоконтролером</w:t>
      </w:r>
      <w:r>
        <w:rPr>
          <w:rFonts w:ascii="Times New Roman" w:hAnsi="Times New Roman"/>
          <w:sz w:val="26"/>
          <w:szCs w:val="26"/>
        </w:rPr>
        <w:t xml:space="preserve">, связанные с нарушением действующих стандартов и других нормативно-технических документов, обязательны для исправления и внесения в ВКР.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После исправления замечаний заполненный бланк «Лист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ВКР» визируется </w:t>
      </w:r>
      <w:r>
        <w:rPr>
          <w:rFonts w:ascii="Times New Roman" w:hAnsi="Times New Roman"/>
          <w:sz w:val="26"/>
          <w:szCs w:val="26"/>
        </w:rPr>
        <w:t xml:space="preserve">нормоконтролером</w:t>
      </w:r>
      <w:r>
        <w:rPr>
          <w:rFonts w:ascii="Times New Roman" w:hAnsi="Times New Roman"/>
          <w:sz w:val="26"/>
          <w:szCs w:val="26"/>
        </w:rPr>
        <w:t xml:space="preserve"> и обучающимся.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Прошедшая </w:t>
      </w:r>
      <w:r>
        <w:rPr>
          <w:rFonts w:ascii="Times New Roman" w:hAnsi="Times New Roman"/>
          <w:sz w:val="26"/>
          <w:szCs w:val="26"/>
        </w:rPr>
        <w:t xml:space="preserve">нормоконтроль</w:t>
      </w:r>
      <w:r>
        <w:rPr>
          <w:rFonts w:ascii="Times New Roman" w:hAnsi="Times New Roman"/>
          <w:sz w:val="26"/>
          <w:szCs w:val="26"/>
        </w:rPr>
        <w:t xml:space="preserve"> ВКР представляется на подпись заведующему кафедрой информационных систем и программирования вместе с бланками «Отзыв руководителя о ВКР» и «Лист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ВКР».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Далее ВКР направляется на рецензирование без бланков «Лист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ВКР» и «Отзыв руководителя о ВКР».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Рецензент назначается заведующим кафедрой информационных систем и программирования образовательной организации, а также из числа специалистов предприятий, организаций, учреждений заказчиков кадров соответствующего профиля.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ВКР должна быть представлена на рецензию обучающимся лично за пять дней до защиты. Рецензия представляется в письменном виде.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Бланк «Рецензия на ВКР» приведен в приложении Е.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Для проведения защиты обучающимися выпускных квалификационных работ (дипломных проектов) предоставляется следующий перечень документов: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Федеральный государственный образовательный стандарт среднего профессионального образования по сп</w:t>
      </w:r>
      <w:r>
        <w:rPr>
          <w:rFonts w:ascii="Times New Roman" w:hAnsi="Times New Roman"/>
          <w:color w:val="000000"/>
          <w:sz w:val="26"/>
          <w:szCs w:val="26"/>
        </w:rPr>
        <w:t xml:space="preserve">ециальности 09.02.07 «Информационные системы и программирование», утвержденного приказом Министерства образования и науки от 9 декабря 2016 года № 1547 (зарегистрирован Министерством юстиции Российской Федерации 26 декабря 2016 г., регистрационный №44936);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Программа государственной итоговой аттестации по специальности 09.02.07 Информационные системы и программирование;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7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Приказ о допуске обучающихся к государственной итоговой аттестации;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7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Приказ о закреплении за обучающимися тем выпускных квалификационных работ (дипломных проектов), руководителей и </w:t>
      </w:r>
      <w:r>
        <w:rPr>
          <w:rFonts w:ascii="Times New Roman" w:hAnsi="Times New Roman"/>
          <w:color w:val="000000"/>
          <w:sz w:val="26"/>
          <w:szCs w:val="26"/>
        </w:rPr>
        <w:t xml:space="preserve">нормоконтролеров</w:t>
      </w:r>
      <w:r>
        <w:rPr>
          <w:rFonts w:ascii="Times New Roman" w:hAnsi="Times New Roman"/>
          <w:color w:val="000000"/>
          <w:sz w:val="26"/>
          <w:szCs w:val="26"/>
        </w:rPr>
        <w:t xml:space="preserve">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7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Приказ о назначении рецензентов на выпускные квалификационные работы (дипломные проекты);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7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сведения об успеваемости обучающихся за весь период обучения;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7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зачетные книжки обучающихся;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7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протокол заседания государственной экзаменационной комиссии.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На защиту обучающие предоставляют: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8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выпускную квалификационную работу (дипломный проект);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8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отзыв руководителя выпускной квалификационной работы (дипломного проекта);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8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рецензия специалиста на дипломный проект;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8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заключение по </w:t>
      </w:r>
      <w:r>
        <w:rPr>
          <w:rFonts w:ascii="Times New Roman" w:hAnsi="Times New Roman"/>
          <w:color w:val="000000"/>
          <w:sz w:val="26"/>
          <w:szCs w:val="26"/>
        </w:rPr>
        <w:t xml:space="preserve">нормоконтролю</w:t>
      </w:r>
      <w:r>
        <w:rPr>
          <w:rFonts w:ascii="Times New Roman" w:hAnsi="Times New Roman"/>
          <w:color w:val="000000"/>
          <w:sz w:val="26"/>
          <w:szCs w:val="26"/>
        </w:rPr>
        <w:t xml:space="preserve">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8"/>
        </w:numPr>
        <w:ind w:left="0" w:firstLine="709"/>
        <w:jc w:val="both"/>
        <w:spacing w:after="0" w:line="240" w:lineRule="auto"/>
        <w:shd w:val="clear" w:color="auto" w:fill="ffffff"/>
        <w:tabs>
          <w:tab w:val="left" w:pos="993" w:leader="none"/>
          <w:tab w:val="left" w:pos="1134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портфолио</w:t>
      </w:r>
      <w:r>
        <w:rPr>
          <w:rFonts w:ascii="Times New Roman" w:hAnsi="Times New Roman"/>
          <w:color w:val="000000"/>
          <w:sz w:val="26"/>
          <w:szCs w:val="26"/>
        </w:rPr>
        <w:t xml:space="preserve"> (отчеты о ранее достигнутых результатах, дополнительные сертификаты, свидетельства (дипломы) олимпиад, конкурсов, творческие работы по специальности, характеристика с мест прохождения производственной (преддипломной) практики).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Реквизиты «подпись» и «дата» на всех листах ВКР и на документах, прилагаемых к ВКР, выполняются чернилами синего цвета.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center"/>
        <w:spacing w:after="0" w:line="240" w:lineRule="auto"/>
        <w:tabs>
          <w:tab w:val="left" w:pos="1134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3. Общие сведения о структуре ВКР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tabs>
          <w:tab w:val="left" w:pos="1134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 структуре выполненная выпускная квалификационная работа (дипломный проект) состоит из пояснительной записки и приложений.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Пояснительная записка состоит из следующих структурных элементов: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Титульный лист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Задание на ВКР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Аннотация (Оформление аннотации представлено в приложении Ж)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Содержание (Пример оформления содержания приведен в приложении И)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Введение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 Техническое задание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1.1. Введение технического задания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1.2. Назначение разработки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1.3. Требования к программе или программному изделию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1.3.1. Требования к функциональным характеристикам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1.3.2. Требования к надежности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1.3.3. Требования к составу и параметрам технических средств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1.3.4. Требования к информационной и программной совместимости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1.4. Требования к программной документации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2.  Проектирование и разработка программного обеспечения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2.1. Методология проектирования программного обеспечения и анализ бизнес-процессов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2.2. Инструменты и технологии разработки программного обеспечения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2.3. Инфологическая модель данных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3. Тестирование программного обеспечения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3.1. Основные термины и их соотношение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3.2. Статистические методы устранения ошибок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3.3. Функциональное тестирование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3.4. Структурное тестирование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4. Руководство системного программиста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4.1. Общие сведения о программе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4.2. Структура программы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4.3. Настройка программы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4.4. Проверка программы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4.5. Сообщения системному программисту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 Руководство оператора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5.1. Выполнение программы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5.2. Сообщение оператору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6. Охрана труда и безопасность жизнедеятельности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Заключение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Список использованных источников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Приложение А Входные и выходные документы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Приложение Б Диаграммы моделирования и анализа бизнес-процессов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Приложение В Текст программы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Во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Введении</w:t>
      </w:r>
      <w:r>
        <w:rPr>
          <w:rFonts w:ascii="Times New Roman" w:hAnsi="Times New Roman"/>
          <w:color w:val="000000"/>
          <w:sz w:val="26"/>
          <w:szCs w:val="26"/>
        </w:rPr>
        <w:t xml:space="preserve"> указывается цель работы, ее связь с задачами конкретного предприятия, краткая характеристика предприятия. Оценка современного состояния решаемой задачи. Обосновывается необходимость выполнения данной работы. Указывается объект и предмет исследования.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разделе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«Техническое задание</w:t>
      </w:r>
      <w:r>
        <w:rPr>
          <w:rFonts w:ascii="Times New Roman" w:hAnsi="Times New Roman"/>
          <w:color w:val="000000"/>
          <w:sz w:val="26"/>
          <w:szCs w:val="26"/>
        </w:rPr>
        <w:t xml:space="preserve">» определяются цели, требования и основные исходные данные, необходимые для разработки программного </w:t>
      </w:r>
      <w:r>
        <w:rPr>
          <w:rFonts w:ascii="Times New Roman" w:hAnsi="Times New Roman"/>
          <w:color w:val="000000"/>
          <w:sz w:val="26"/>
          <w:szCs w:val="26"/>
        </w:rPr>
        <w:t xml:space="preserve">программного</w:t>
      </w:r>
      <w:r>
        <w:rPr>
          <w:rFonts w:ascii="Times New Roman" w:hAnsi="Times New Roman"/>
          <w:color w:val="000000"/>
          <w:sz w:val="26"/>
          <w:szCs w:val="26"/>
        </w:rPr>
        <w:t xml:space="preserve"> продукта.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Раздел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Проектирование и разработка программного обеспечения</w:t>
      </w:r>
      <w:r>
        <w:rPr>
          <w:rFonts w:ascii="Times New Roman" w:hAnsi="Times New Roman"/>
          <w:color w:val="000000"/>
          <w:sz w:val="26"/>
          <w:szCs w:val="26"/>
        </w:rPr>
        <w:t xml:space="preserve">» информационной системы предполагает формализацию </w:t>
      </w:r>
      <w:r>
        <w:rPr>
          <w:rFonts w:ascii="Times New Roman" w:hAnsi="Times New Roman"/>
          <w:color w:val="000000"/>
          <w:sz w:val="26"/>
          <w:szCs w:val="26"/>
        </w:rPr>
        <w:t xml:space="preserve">бизнес-модели</w:t>
      </w:r>
      <w:r>
        <w:rPr>
          <w:rFonts w:ascii="Times New Roman" w:hAnsi="Times New Roman"/>
          <w:color w:val="000000"/>
          <w:sz w:val="26"/>
          <w:szCs w:val="26"/>
        </w:rPr>
        <w:t xml:space="preserve"> и раз</w:t>
      </w:r>
      <w:r>
        <w:rPr>
          <w:rFonts w:ascii="Times New Roman" w:hAnsi="Times New Roman"/>
          <w:color w:val="000000"/>
          <w:sz w:val="26"/>
          <w:szCs w:val="26"/>
        </w:rPr>
        <w:t xml:space="preserve">работку логической модели бизнес-процессов. На данном этапе необходимо создать концептуальную модель базы данных будущей системы. Разработанная концептуальная модель формализуется, т.е. воплощается в виде логической модели программной системы. Метод решени</w:t>
      </w:r>
      <w:r>
        <w:rPr>
          <w:rFonts w:ascii="Times New Roman" w:hAnsi="Times New Roman"/>
          <w:color w:val="000000"/>
          <w:sz w:val="26"/>
          <w:szCs w:val="26"/>
        </w:rPr>
        <w:t xml:space="preserve">я данной задачи будет заключаться в разработке диаграмм, с использованием специализированного программного обеспечения – CASE-средств. Здесь описывается процесс реализации программного продукта с использованием специализированного программного обеспечения.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разделе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Тестирование программного обеспечения</w:t>
      </w:r>
      <w:r>
        <w:rPr>
          <w:rFonts w:ascii="Times New Roman" w:hAnsi="Times New Roman"/>
          <w:color w:val="000000"/>
          <w:sz w:val="26"/>
          <w:szCs w:val="26"/>
        </w:rPr>
        <w:t xml:space="preserve">» осуществляется описание методик проведенного тестирования программного продукта. В пояснительной записке приводятся результаты функционального или структурного тестирования с указанием значений входных и выходных данных.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разделе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Руководство системного программиста</w:t>
      </w:r>
      <w:r>
        <w:rPr>
          <w:rFonts w:ascii="Times New Roman" w:hAnsi="Times New Roman"/>
          <w:color w:val="000000"/>
          <w:sz w:val="26"/>
          <w:szCs w:val="26"/>
        </w:rPr>
        <w:t xml:space="preserve">» необходимо указать в каком режиме работает программа. Перечислить программные</w:t>
      </w:r>
      <w:r>
        <w:rPr>
          <w:rFonts w:ascii="Times New Roman" w:hAnsi="Times New Roman"/>
          <w:color w:val="000000"/>
          <w:sz w:val="26"/>
          <w:szCs w:val="26"/>
        </w:rPr>
        <w:t xml:space="preserve"> средства, необходимые при эксплуатации программы: операционная система, архиватор, программа, реализующая поставленный алгоритм и т.д. Указать требования к техническим средствам (процессор, оперативная память, дисковое пространство, разрешение мониторов).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разделе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Руководство оператора</w:t>
      </w:r>
      <w:r>
        <w:rPr>
          <w:rFonts w:ascii="Times New Roman" w:hAnsi="Times New Roman"/>
          <w:color w:val="000000"/>
          <w:sz w:val="26"/>
          <w:szCs w:val="26"/>
        </w:rPr>
        <w:t xml:space="preserve">» разрабатываются инструкционные материалы и рекомендации по работе конечного пользователя с программным продуктом. Даются общие рекомендации по использованию системы.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Раздел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Охрана труда и безопасность жизнедеятельности</w:t>
      </w:r>
      <w:r>
        <w:rPr>
          <w:rFonts w:ascii="Times New Roman" w:hAnsi="Times New Roman"/>
          <w:color w:val="000000"/>
          <w:sz w:val="26"/>
          <w:szCs w:val="26"/>
        </w:rPr>
        <w:t xml:space="preserve">» должен содержать анализ опасных и вредных факторов, их расчет и конкретные технические или организационные мероприятия по их устранению.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Заключении</w:t>
      </w:r>
      <w:r>
        <w:rPr>
          <w:rFonts w:ascii="Times New Roman" w:hAnsi="Times New Roman"/>
          <w:color w:val="000000"/>
          <w:sz w:val="26"/>
          <w:szCs w:val="26"/>
        </w:rPr>
        <w:t xml:space="preserve"> обучающийся анализирует полноту выполнения задач ВКР, делает выводы по работе в целом, подводятся итоги. Важно, чтобы были выполненные задачи, поставле</w:t>
      </w:r>
      <w:r>
        <w:rPr>
          <w:rFonts w:ascii="Times New Roman" w:hAnsi="Times New Roman"/>
          <w:color w:val="000000"/>
          <w:sz w:val="26"/>
          <w:szCs w:val="26"/>
        </w:rPr>
        <w:t xml:space="preserve">нные во Введении, и даны ответы на вопросы, которые были сформулированы обучающимся. Заключение посвящается разработке выводов и предложений, вытекающих из проведенного анализа. Освещаются наиболее общие пути решения проблемы, определяются основные выводы.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разделе «Список использованных источников» необходимо перечислить все используемые источники (не менее 20 шт.). Список использованных </w:t>
      </w:r>
      <w:r>
        <w:rPr>
          <w:rFonts w:ascii="Times New Roman" w:hAnsi="Times New Roman"/>
          <w:color w:val="000000"/>
          <w:sz w:val="26"/>
          <w:szCs w:val="26"/>
        </w:rPr>
        <w:t xml:space="preserve">источников должен содержать книги и статьи, вышедшие по теме ВКР не позднее 5 лет с момента опубликования.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Материал, дополняющий текст документа, помещается в приложениях.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сдаче ВКР руководителю необходимо приложить диск с окончательным вариантом ВКР и программной разработкой.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Программной разработкой обучающегося является программный продукт, представленный в виде локального программного приложения, web-приложения, сайта.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Программный продукт при необходимости должен быть защищен от несанкционированного доступа средствами пароля и ограничениями прав пользователя.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Обучающийся должен разработать программный продукт, провести тестирование и апробацию.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center"/>
        <w:spacing w:after="0" w:line="240" w:lineRule="auto"/>
        <w:tabs>
          <w:tab w:val="left" w:pos="1134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4. Общие требования к оформлению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Текст выполняется на листах формата А4 (210х297 мм)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Параметры страницы</w:t>
      </w:r>
      <w:r>
        <w:rPr>
          <w:rFonts w:ascii="Times New Roman" w:hAnsi="Times New Roman"/>
          <w:sz w:val="26"/>
          <w:szCs w:val="26"/>
        </w:rPr>
        <w:t xml:space="preserve">: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размер полей: левое – 30 мм, правое – 15 мм, верхнее и нижнее – по 20 мм.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ориентация: книжная; таблицы, иллюстрации, приложения при необходимости могут быть выполнены в альбомной ориентации (поля альбомной ориентации: левое и правое – по 20 мм, верхнее – 30 мм, нижнее – 15 мм).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Шрифт: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«</w:t>
      </w:r>
      <w:r>
        <w:rPr>
          <w:rFonts w:ascii="Times New Roman" w:hAnsi="Times New Roman"/>
          <w:sz w:val="26"/>
          <w:szCs w:val="26"/>
        </w:rPr>
        <w:t xml:space="preserve">Times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New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Roman</w:t>
      </w:r>
      <w:r>
        <w:rPr>
          <w:rFonts w:ascii="Times New Roman" w:hAnsi="Times New Roman"/>
          <w:sz w:val="26"/>
          <w:szCs w:val="26"/>
        </w:rPr>
        <w:t xml:space="preserve">»;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начертание символов – обычное;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шрифт основного текста – обычный, размер – 14 </w:t>
      </w:r>
      <w:r>
        <w:rPr>
          <w:rFonts w:ascii="Times New Roman" w:hAnsi="Times New Roman"/>
          <w:sz w:val="26"/>
          <w:szCs w:val="26"/>
        </w:rPr>
        <w:t xml:space="preserve">pt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размер шрифта – 14; в таблицах, иллюстрациях, нумерации страниц размер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шрифта – 12 (в исключительных случаях (если таблицы, иллюстрации содержат большой объем информации) в таблицах, иллюстрациях допускается использовать размер шрифта 10); для примечаний и сносок размер шрифта – 10;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шрифт заголовков разделов, структурных элементов «Аннотация», «Содержание», «Введение», «Заключение», «Список использованных источников», «Приложение» – полужирный, размер – 16 </w:t>
      </w:r>
      <w:r>
        <w:rPr>
          <w:rFonts w:ascii="Times New Roman" w:hAnsi="Times New Roman"/>
          <w:sz w:val="26"/>
          <w:szCs w:val="26"/>
        </w:rPr>
        <w:t xml:space="preserve">pt</w:t>
      </w:r>
      <w:r>
        <w:rPr>
          <w:rFonts w:ascii="Times New Roman" w:hAnsi="Times New Roman"/>
          <w:sz w:val="26"/>
          <w:szCs w:val="26"/>
        </w:rPr>
        <w:t xml:space="preserve">; шрифт заголовков подразделов – полужирный, размер – 14 </w:t>
      </w:r>
      <w:r>
        <w:rPr>
          <w:rFonts w:ascii="Times New Roman" w:hAnsi="Times New Roman"/>
          <w:sz w:val="26"/>
          <w:szCs w:val="26"/>
        </w:rPr>
        <w:t xml:space="preserve">pt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цвет текста – черный (А</w:t>
        <w:tab/>
        <w:t xml:space="preserve">вто);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без подчеркивания;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left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межсимвольный интервал – обычный.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b/>
          <w:sz w:val="26"/>
          <w:szCs w:val="26"/>
        </w:rPr>
        <w:t xml:space="preserve">Межстрочный интервал</w:t>
      </w:r>
      <w:r>
        <w:rPr>
          <w:rFonts w:ascii="Times New Roman" w:hAnsi="Times New Roman"/>
          <w:sz w:val="26"/>
          <w:szCs w:val="26"/>
        </w:rPr>
        <w:t xml:space="preserve">: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тексте – полуторный;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таблицах, иллюстрациях, формулах, примечаниях и сносках – одинарный.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Выравнивание текста и абзацный отступ</w:t>
      </w:r>
      <w:r>
        <w:rPr>
          <w:rFonts w:ascii="Times New Roman" w:hAnsi="Times New Roman"/>
          <w:sz w:val="26"/>
          <w:szCs w:val="26"/>
        </w:rPr>
        <w:t xml:space="preserve">: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выравнивание текста – по ширине с автоматической расстановкой переносов;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абзацный отступ – 12,5 мм;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абзацный отступ должен быть одинаковым по всему тексту.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Нумерация страниц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положение – внизу страницы, выравнивание – по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центру, формат номера – а</w:t>
      </w:r>
      <w:r>
        <w:rPr>
          <w:rFonts w:ascii="Times New Roman" w:hAnsi="Times New Roman"/>
          <w:color w:val="000000"/>
          <w:sz w:val="26"/>
          <w:szCs w:val="26"/>
        </w:rPr>
        <w:t xml:space="preserve">рабские цифры, без точки (1, 2, 3, …). Нумерация начинается с титульного листа, но номер страницы на нем не ставится. Задание на выполнение ВКР, Аннотация не нумеруются. Проставление номеров страниц начинается с номера 2 на листе с заголовком «Содержание».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5. Требования к содержанию структурных элементов текстовой части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5.1. Общие требования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Каждый структурный элемент пояснительной записки (текста) ВКР (аннотация, содержание, введение, каждый раздел/ глава, заключение, список использованных источников, каждое приложение) следует начинать с новой страницы.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Каждая страница должна быть заполнена не менее чем на 1/3 объема (для стандартного печатного текста – не менее 12 строк).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Необходимо соблюдать равномерную плотность, контрастность и четкость изображения по всему документу. Буквы, цифры, линии и знаки должны быть четкие, не расплывшиеся.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пояснительной записке (тексте) ВКР следует применять угловые кавычки «» (например: «Годовой оборот ООО «Ромашка» превысил плановые показатели»).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Между инициалам</w:t>
      </w:r>
      <w:r>
        <w:rPr>
          <w:rFonts w:ascii="Times New Roman" w:hAnsi="Times New Roman"/>
          <w:sz w:val="26"/>
          <w:szCs w:val="26"/>
        </w:rPr>
        <w:t xml:space="preserve">и и фамилией, числовым значением и обозначением единицы величины, аббревиатурой вида организации и ее названием использовать неразрывные пробелы (например: Э. Вебер, С.Л. Рубинштейн; 25 м², 34 °C, с. 17, 379 с., 2018 г., 1960 г.р. , 30-е гг. XX века; ЗАО «</w:t>
      </w:r>
      <w:r>
        <w:rPr>
          <w:rFonts w:ascii="Times New Roman" w:hAnsi="Times New Roman"/>
          <w:sz w:val="26"/>
          <w:szCs w:val="26"/>
        </w:rPr>
        <w:t xml:space="preserve">Сибур</w:t>
      </w:r>
      <w:r>
        <w:rPr>
          <w:rFonts w:ascii="Times New Roman" w:hAnsi="Times New Roman"/>
          <w:sz w:val="26"/>
          <w:szCs w:val="26"/>
        </w:rPr>
        <w:t xml:space="preserve">»).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тексте ВКР, за исключением формул, таблиц и рисунков, не допускается применять: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numPr>
          <w:ilvl w:val="0"/>
          <w:numId w:val="1"/>
        </w:numPr>
        <w:ind w:left="0"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математический знак «-» перед отрицательными значениями величин (следует писать слово «минус»);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1"/>
        </w:numPr>
        <w:ind w:left="0"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знак «Ø» для обозначения диаметра (следует писать слово «диаметр»);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1"/>
        </w:numPr>
        <w:ind w:left="0"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sdt>
        <w:sdtPr>
          <w15:appearance w15:val="boundingBox"/>
          <w:id w:val="2011022596"/>
          <w:tag w:val="goog_rdk_0"/>
          <w:rPr/>
        </w:sdtPr>
        <w:sdtContent>
          <w:r>
            <w:rPr>
              <w:rFonts w:ascii="Gungsuh" w:hAnsi="Gungsuh" w:eastAsia="Gungsuh" w:cs="Gungsuh"/>
              <w:color w:val="000000"/>
              <w:sz w:val="26"/>
              <w:szCs w:val="26"/>
            </w:rPr>
            <w:t xml:space="preserve">математические знаки величин без числовых значений, например, «&gt;» (больше), «&lt;» (меньше), «=» (равно), «≥» (больше или равно), «≤» (меньше или равно), «≠» (не равно), а также знаки «№» (номер) и «%» (процент).</w:t>
          </w:r>
        </w:sdtContent>
      </w:sdt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5.2. Разделы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Текст основной части ВКР следует делить на разделы.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Разделы могут делиться на подразделы и пункты. Пункты при необходимости могут делиться на подпункты.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Каждый раздел следует начинать с нового листа.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Разделы, подразделы, пункты и подпункты нумеруют арабскими цифрами.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Разделы должны иметь порядковую нумерацию в пределах всего текста основной части ВКР.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Пример – 1 Общие сведения о </w:t>
      </w:r>
      <w:r>
        <w:rPr>
          <w:rFonts w:ascii="Times New Roman" w:hAnsi="Times New Roman"/>
          <w:i/>
          <w:sz w:val="26"/>
          <w:szCs w:val="26"/>
        </w:rPr>
        <w:t xml:space="preserve">пресс-экструдерах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2 Математическое описание процесса </w:t>
      </w:r>
      <w:r>
        <w:rPr>
          <w:rFonts w:ascii="Times New Roman" w:hAnsi="Times New Roman"/>
          <w:i/>
          <w:sz w:val="26"/>
          <w:szCs w:val="26"/>
        </w:rPr>
        <w:t xml:space="preserve">экструдирования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3 Описание лабораторного оборудования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Номер подраздела включает номера раздела и подраздела, разделенные точкой, а номер пункта – номера раздела, подраздела и пункта, разделенные точками.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Пример – 1.1 Возможности </w:t>
      </w:r>
      <w:r>
        <w:rPr>
          <w:rFonts w:ascii="Times New Roman" w:hAnsi="Times New Roman"/>
          <w:i/>
          <w:sz w:val="26"/>
          <w:szCs w:val="26"/>
        </w:rPr>
        <w:t xml:space="preserve">пресс-экструдера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1.1.1 Производство </w:t>
      </w:r>
      <w:r>
        <w:rPr>
          <w:rFonts w:ascii="Times New Roman" w:hAnsi="Times New Roman"/>
          <w:i/>
          <w:sz w:val="26"/>
          <w:szCs w:val="26"/>
        </w:rPr>
        <w:t xml:space="preserve">кормопродуктов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1.1.2 Производство пищевых продуктов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1.1.3 Производство промышленных продукций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1.2 Режимы работы пресс-экструдеров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1.2.1 Режимы обработки растительных материалов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1.2.2 Режимы обработки </w:t>
      </w:r>
      <w:r>
        <w:rPr>
          <w:rFonts w:ascii="Times New Roman" w:hAnsi="Times New Roman"/>
          <w:i/>
          <w:sz w:val="26"/>
          <w:szCs w:val="26"/>
        </w:rPr>
        <w:t xml:space="preserve">кормоотходов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Номер подпункта включает номера раздела, подраздела, пункта и подпункта, разделенные точками.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Пример – 1.1.1.1 Экструдер применяется при получении гранулированных кормов …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1.1.1.2 Гранулированные корма дольше хранятся …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Количество номеров в нумерации структурных элементов не должно превышать четырех.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После номера раздела, подраздела, пункта точку не ставят, а отделяют от текста пробелом.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ab/>
        <w:t xml:space="preserve">Для разделов и подразделов ВКР применяют заголовки. Для пунктов, подпунктов, как правило, заголовки не приводят.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Заголовки должны четко и кратко отражать содержание соответствующих разделов, подразделов.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Заголовок ра</w:t>
      </w:r>
      <w:r>
        <w:rPr>
          <w:rFonts w:ascii="Times New Roman" w:hAnsi="Times New Roman"/>
          <w:sz w:val="26"/>
          <w:szCs w:val="26"/>
        </w:rPr>
        <w:t xml:space="preserve">здела (подраздела или пункта) печатают, отделяя от номера пробелом, начиная с прописной буквы, не приводя точку в конце и не подчеркивая. При этом номер раздела (подраздела или пункта) печатают после абзацного отступа (12,5 мм, или пять знаков размером 14 </w:t>
      </w:r>
      <w:r>
        <w:rPr>
          <w:rFonts w:ascii="Times New Roman" w:hAnsi="Times New Roman"/>
          <w:sz w:val="26"/>
          <w:szCs w:val="26"/>
        </w:rPr>
        <w:t xml:space="preserve">pt</w:t>
      </w:r>
      <w:r>
        <w:rPr>
          <w:rFonts w:ascii="Times New Roman" w:hAnsi="Times New Roman"/>
          <w:sz w:val="26"/>
          <w:szCs w:val="26"/>
        </w:rPr>
        <w:t xml:space="preserve">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заголовках следует избегать сокращений (за исключением общепризнанных аббревиатур, единиц величин и сокращений, входящих в условные обозначения).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заголовках не допускается перенос слова на последующую строку, применение римских цифр, математических знаков и греческих букв.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Текст заголовков раздела, подраздела, пункта, подпункта не должен содержать переносов.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Если заголовок состоит из двух предложений, то их разделяют точкой.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Межстрочный интервал между строками заголовков разделов, подразделов, пунктов и подпунктов принимают таким же, как в тексте (одинарный).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 оформлении заголовков следует соблюдать следующие требования к их размещению: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numPr>
          <w:ilvl w:val="0"/>
          <w:numId w:val="2"/>
        </w:numPr>
        <w:ind w:left="0" w:firstLine="709"/>
        <w:jc w:val="both"/>
        <w:spacing w:after="0" w:line="240" w:lineRule="auto"/>
        <w:tabs>
          <w:tab w:val="left" w:pos="709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расстояние между заголовком и текстом должно быть равно удвоенному межстрочному расстоянию;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2"/>
        </w:numPr>
        <w:ind w:left="0" w:firstLine="709"/>
        <w:jc w:val="both"/>
        <w:spacing w:after="0" w:line="240" w:lineRule="auto"/>
        <w:tabs>
          <w:tab w:val="left" w:pos="709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расстояние между заголовками раздела и подраздела должно быть равно одному межстрочному расстоянию;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2"/>
        </w:numPr>
        <w:ind w:left="0" w:firstLine="709"/>
        <w:jc w:val="both"/>
        <w:spacing w:after="0" w:line="240" w:lineRule="auto"/>
        <w:tabs>
          <w:tab w:val="left" w:pos="709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расстояние между последней строкой текста и последующим заголовком текста должно быть равно удвоенному межстрочному расстоянию.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5.3. Перечисления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тексте ВКР могут быть приведены перечисления.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Перечисления выделяют в тексте абзацным отступом, который используют только в первой строке.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Перед каждой позицией перечисления ставят дефис.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необходимо в тексте ВКР сослаться на одно или несколько перечислений, то перед каждой позицией вместо дефиса ставят строчную букву, приводимую в алфавитном порядке, а после нее - скобку.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Для дальнейшей детализации перечисления используют арабские цифры, после которых ставят скобку, приводя их со смещением вправо на два знака относительно перечислений, обозначенных буквами.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Допускается вместо дефиса приводить арабские цифры со скобкой, а для дальнейшей детализации использовать строчные буквы русского или латинского алфавитов в алфавитном порядке со скобкой после них.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 Допускается располагать сведения об источниках в списке: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numPr>
          <w:ilvl w:val="0"/>
          <w:numId w:val="3"/>
        </w:numPr>
        <w:ind w:left="0" w:firstLine="709"/>
        <w:jc w:val="both"/>
        <w:spacing w:after="0" w:line="240" w:lineRule="auto"/>
        <w:tabs>
          <w:tab w:val="left" w:pos="0" w:leader="none"/>
          <w:tab w:val="left" w:pos="1134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в алфавитном порядке;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numPr>
          <w:ilvl w:val="0"/>
          <w:numId w:val="3"/>
        </w:numPr>
        <w:ind w:left="0" w:firstLine="709"/>
        <w:jc w:val="both"/>
        <w:spacing w:after="0" w:line="240" w:lineRule="auto"/>
        <w:tabs>
          <w:tab w:val="left" w:pos="0" w:leader="none"/>
          <w:tab w:val="left" w:pos="1134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по разделам;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numPr>
          <w:ilvl w:val="0"/>
          <w:numId w:val="3"/>
        </w:numPr>
        <w:ind w:left="0" w:firstLine="709"/>
        <w:jc w:val="both"/>
        <w:spacing w:after="0" w:line="240" w:lineRule="auto"/>
        <w:tabs>
          <w:tab w:val="left" w:pos="0" w:leader="none"/>
          <w:tab w:val="left" w:pos="1134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по видам источников.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 Для всех медицинских изделий установлены следующие дополнительные требования: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а) проведение контроля окружающей среды, который осуществляют в следующих случаях: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б) установление поставщиком и соблюдение им требований к чистоте следующих изделий: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  <w:tab w:val="left" w:pos="1843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1) предварительно очищенных до стерилизации и/или использования;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  <w:tab w:val="left" w:pos="1843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2) поставляемых нестерильными, но подлежащими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предстерилизационной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очистке;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в) установление поставщиком требований по обслуживанию, если это может повлиять на качество изделия.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3 Различают следующие виды конфликтов: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1) по степени проявления: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993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a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) открытые;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993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b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) скрытые;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2) по продолжительности;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3) по интенсивности.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br/>
        <w:t xml:space="preserve">           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5.4. Таблицы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Таблицы применяют для лучшей наглядности и удобства сравнения числовых значений показателей (параметров, размеров и т.п.).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Табличную форму целесообразно применять, если различные показатели могут быть сгруппированы по какому-либо общему признаку (например, физико-химические показатели), а каждый из показателей может иметь два (или более) значения.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  <w:t xml:space="preserve">Таблицы оформляют в соответствии с рисунком 1.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-377406</wp:posOffset>
                </wp:positionH>
                <wp:positionV relativeFrom="paragraph">
                  <wp:posOffset>135962</wp:posOffset>
                </wp:positionV>
                <wp:extent cx="5940425" cy="2143125"/>
                <wp:effectExtent l="0" t="0" r="0" b="0"/>
                <wp:wrapNone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082600" name="image3.png"/>
                        <pic:cNvPicPr/>
                        <pic:nvPr/>
                      </pic:nvPicPr>
                      <pic:blipFill>
                        <a:blip r:embed="rId11"/>
                        <a:srcRect l="22608" t="51595" r="23997" b="16191"/>
                        <a:stretch/>
                      </pic:blipFill>
                      <pic:spPr bwMode="auto">
                        <a:xfrm>
                          <a:off x="0" y="0"/>
                          <a:ext cx="5940424" cy="2143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-29.72pt;mso-position-horizontal:absolute;mso-position-vertical-relative:text;margin-top:10.71pt;mso-position-vertical:absolute;width:467.75pt;height:168.75pt;mso-wrap-distance-left:9.00pt;mso-wrap-distance-top:0.00pt;mso-wrap-distance-right:9.00pt;mso-wrap-distance-bottom:0.00pt;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Рисунок 1 – Структура таблицы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Слева над таблицей после абзацного отступа, равного 12,5 мм, или пяти знакам размером 14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, размещают слово «Таблица». Далее приводят номер таблицы в соответствии с пунктом.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 При этом точку после номера таблицы не ставят.</w:t>
      </w:r>
      <w:r>
        <w:rPr>
          <w:rFonts w:ascii="Times New Roman" w:hAnsi="Times New Roman"/>
          <w:color w:val="000000"/>
          <w:sz w:val="26"/>
          <w:szCs w:val="26"/>
        </w:rPr>
        <w:br/>
        <w:t xml:space="preserve">При необходимости краткого пояснения и/или уточнения содержания таблицы приводят ее наименование, которое записывают с прописной буквы над таблицей после ее номера, отделяя от него тире. При этом точку после наименования таблицы не ставят.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От основного текста до слова «Таблица» и от нижней границы таблицы до последующего основного текста должно быть одно межстрочное расстояние.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Правая и левая границы таблицы должны соответствовать границам основного текста.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Таблицы нумеруются арабскими цифрами сквозной нумерацией в пределах всего текста основной части ВКР, за исключением таблиц приложений.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Таблицы каждого приложения нумеруют арабскими цифрами отдельной нумерацией, добавляя перед каждым номером обозначение данного приложения и разделяя их точкой.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в ВКР одна таблица, то ее обозначают «Таблица 1» или, например, «Таблица В.1» (если таблица приведена в приложении В).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sdt>
        <w:sdtPr>
          <w15:appearance w15:val="boundingBox"/>
          <w:id w:val="-1968106566"/>
          <w:tag w:val="goog_rdk_1"/>
          <w:rPr/>
        </w:sdtPr>
        <w:sdtContent>
          <w:r>
            <w:rPr>
              <w:rFonts w:ascii="Gungsuh" w:hAnsi="Gungsuh" w:eastAsia="Gungsuh" w:cs="Gungsuh"/>
              <w:b/>
              <w:i/>
              <w:color w:val="000000"/>
              <w:sz w:val="26"/>
              <w:szCs w:val="26"/>
            </w:rPr>
            <w:t xml:space="preserve">Пример − Таблица 1.1</w:t>
          </w:r>
        </w:sdtContent>
      </w:sdt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На все таблицы ВКР приводят ссылки в тексте ВКР или в приложении (если таблица приведена в приложении). При этом пишут слово «таблица», а затем указывают ее номер.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Заголовки граф (колонок) и строк таблицы приводят, начиная с прописной буквы, а подзаголовки граф - со с</w:t>
      </w:r>
      <w:r>
        <w:rPr>
          <w:rFonts w:ascii="Times New Roman" w:hAnsi="Times New Roman"/>
          <w:color w:val="000000"/>
          <w:sz w:val="26"/>
          <w:szCs w:val="26"/>
        </w:rPr>
        <w:t xml:space="preserve">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граф и строк точки не ставят. Заголовки и подзаголовки граф указывают в единственном числе.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приведении заголовка боковика или заголовков (подзаголовков) других граф не допускается разделение граф в головке таблицы диагональными линиями.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Заголовки граф, как правило, записывают параллельно строкам таблицы.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необходимости допускается располагать заголовки граф перпендикулярно строкам таблицы.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Шрифт соответствующих граф (рисунок 1) и текста таблицы – 12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. Межстрочный интервал – одинарный. Тип шрифта: </w:t>
      </w:r>
      <w:r>
        <w:rPr>
          <w:rFonts w:ascii="Times New Roman" w:hAnsi="Times New Roman"/>
          <w:color w:val="000000"/>
          <w:sz w:val="26"/>
          <w:szCs w:val="26"/>
        </w:rPr>
        <w:t xml:space="preserve">Times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New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Roman</w:t>
      </w:r>
      <w:r>
        <w:rPr>
          <w:rFonts w:ascii="Times New Roman" w:hAnsi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Таблицу, в зависимости от ее размера, помещают под текстом, в котором впервые дана на нее ссылка, или на следующей странице, а при необходимости - в приложении ВКР.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Допускается размещать таблицу вдоль длинной стороны листа. При этом слово «Таблица» также размещают вдоль длинной стороны листа.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таблица выходит за формат страницы, то таблицу делят на части, помещая одну часть под другой, рядом или на следующей странице (страницах), при этом</w:t>
      </w:r>
      <w:r>
        <w:rPr>
          <w:rFonts w:ascii="Times New Roman" w:hAnsi="Times New Roman"/>
          <w:color w:val="000000"/>
          <w:sz w:val="26"/>
          <w:szCs w:val="26"/>
        </w:rPr>
        <w:t xml:space="preserve"> в каждой части таблицы повторяют ее головку и боковик. При делении таблицы на части допускается ее головку и боковик не повторять, а заменять соответственно номером граф и строк. При этом нумеруют арабскими цифрами графы и/или строки первой части таблицы.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делении таблицы на части слово «Таблица», ее номер и наименование помещают только над первой частью таблицы, а над другими частями приводят словосочетание «Продолжение таблицы» с указанием номера таблицы.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Графу «Номер по порядку» в таблицу не включают.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необходимости нумерации показателей, включенных в таблицу, порядковые номера указывают в первой графе (боковике) таблицы непосредственно перед их наименованием.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5.5. Иллюстрации 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Иллюстрации (графики, схемы, фотоснимки, диаграммы и др.) следует располагать в ВКР непосредственно после текста, в котором они упоминаются впервые, или на следующей странице.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подготовке иллюстраций необходимо добиться, чтобы весь графический материал полностью отображался как на экране в режиме предварительного просмотра, так и на страницах при их распечатке.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Рисунки в формате *</w:t>
      </w:r>
      <w:r>
        <w:rPr>
          <w:rFonts w:ascii="Times New Roman" w:hAnsi="Times New Roman"/>
          <w:color w:val="000000"/>
          <w:sz w:val="26"/>
          <w:szCs w:val="26"/>
        </w:rPr>
        <w:t xml:space="preserve">jpg</w:t>
      </w:r>
      <w:r>
        <w:rPr>
          <w:rFonts w:ascii="Times New Roman" w:hAnsi="Times New Roman"/>
          <w:color w:val="000000"/>
          <w:sz w:val="26"/>
          <w:szCs w:val="26"/>
        </w:rPr>
        <w:t xml:space="preserve">, *</w:t>
      </w:r>
      <w:r>
        <w:rPr>
          <w:rFonts w:ascii="Times New Roman" w:hAnsi="Times New Roman"/>
          <w:color w:val="000000"/>
          <w:sz w:val="26"/>
          <w:szCs w:val="26"/>
        </w:rPr>
        <w:t xml:space="preserve">bmp</w:t>
      </w:r>
      <w:r>
        <w:rPr>
          <w:rFonts w:ascii="Times New Roman" w:hAnsi="Times New Roman"/>
          <w:color w:val="000000"/>
          <w:sz w:val="26"/>
          <w:szCs w:val="26"/>
        </w:rPr>
        <w:t xml:space="preserve">, *</w:t>
      </w:r>
      <w:r>
        <w:rPr>
          <w:rFonts w:ascii="Times New Roman" w:hAnsi="Times New Roman"/>
          <w:color w:val="000000"/>
          <w:sz w:val="26"/>
          <w:szCs w:val="26"/>
        </w:rPr>
        <w:t xml:space="preserve">tif</w:t>
      </w:r>
      <w:r>
        <w:rPr>
          <w:rFonts w:ascii="Times New Roman" w:hAnsi="Times New Roman"/>
          <w:color w:val="000000"/>
          <w:sz w:val="26"/>
          <w:szCs w:val="26"/>
        </w:rPr>
        <w:t xml:space="preserve"> – не менее 300 </w:t>
      </w:r>
      <w:r>
        <w:rPr>
          <w:rFonts w:ascii="Times New Roman" w:hAnsi="Times New Roman"/>
          <w:color w:val="000000"/>
          <w:sz w:val="26"/>
          <w:szCs w:val="26"/>
        </w:rPr>
        <w:t xml:space="preserve">dpi</w:t>
      </w:r>
      <w:r>
        <w:rPr>
          <w:rFonts w:ascii="Times New Roman" w:hAnsi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Графические материалы (схемы, рисунки), состоящие из отдельных графических объектов, должны быть сгруппированы в единый объект.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Графические фрагменты, получаемые путем сканирования, должны быть высокого качества, с разрешением не менее 300 </w:t>
      </w:r>
      <w:r>
        <w:rPr>
          <w:rFonts w:ascii="Times New Roman" w:hAnsi="Times New Roman"/>
          <w:color w:val="000000"/>
          <w:sz w:val="26"/>
          <w:szCs w:val="26"/>
        </w:rPr>
        <w:t xml:space="preserve">dpi</w:t>
      </w:r>
      <w:r>
        <w:rPr>
          <w:rFonts w:ascii="Times New Roman" w:hAnsi="Times New Roman"/>
          <w:color w:val="000000"/>
          <w:sz w:val="26"/>
          <w:szCs w:val="26"/>
        </w:rPr>
        <w:t xml:space="preserve">, с последующим сохранением в формате графических файлов.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Графические материалы (схемы, рисунки и др.), состоящие из отдельных графических объектов, должны быть сгруппированы в единый объект.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Иллюстрации, за исключением иллюстраций приложений, нумеруют арабскими цифрами сквозной нумерацией, приводя эти номера после слова «Рисунок». Если рисунок один, то его обозначают «Рисунок 1».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Допускается нумеровать иллюстрации в пределах раздела, в этом случае номер рисунка состоит из номера раздела и порядкового номера рисунка, разделенных точкой.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Рисунок 1.1 – …, Рисунок 1.2 – …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Иллюстрации каждого приложения нумеруют арабскими цифрами отдельной нумерацией, добавляя перед каждым номером обозначение данного приложения и разделяя их точкой.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Рисунок А.3 –…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Допускается не нумеровать мелкие иллюстрации, размещенные непосредственно в тексте и на которые в дальнейшем нет ссылок.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Иллюстрации при необходимости могут иметь наименование и пояснительные данные (подрисуночный текст). Слово «Рисунок» и наименование помещают после пояснительных данных (при наличии таковых), с абзацным </w:t>
      </w:r>
      <w:r>
        <w:rPr>
          <w:rFonts w:ascii="Times New Roman" w:hAnsi="Times New Roman"/>
          <w:color w:val="000000"/>
          <w:sz w:val="26"/>
          <w:szCs w:val="26"/>
        </w:rPr>
        <w:t xml:space="preserve">отступом, равным 12,5 мм, или пяти знакам размером 14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. Точку в конце наименования рисунка не ставят.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От основного текста до верхней границы иллюстрации и от слова «Рисунок» или последней строчки наименования рисунка до последующего основного текста должно быть одно межстрочное расстояние.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Иллюстрации необходимо выравнивать по центру страницы.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Иллюстрация располагается непосредственно после текста, в котором упоминается.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sdt>
        <w:sdtPr>
          <w15:appearance w15:val="boundingBox"/>
          <w:id w:val="597452584"/>
          <w:tag w:val="goog_rdk_2"/>
          <w:rPr/>
        </w:sdtPr>
        <w:sdtContent>
          <w:r>
            <w:rPr>
              <w:rFonts w:ascii="Gungsuh" w:hAnsi="Gungsuh" w:eastAsia="Gungsuh" w:cs="Gungsuh"/>
              <w:color w:val="000000"/>
              <w:sz w:val="26"/>
              <w:szCs w:val="26"/>
            </w:rPr>
            <w:t xml:space="preserve">Если иллюстрация не умещается на одной странице, допускается переносить ее на другие страницы. При этом тематическое наименование помещают на той странице, с которой </w:t>
          </w:r>
          <w:r>
            <w:rPr>
              <w:rFonts w:ascii="Gungsuh" w:hAnsi="Gungsuh" w:eastAsia="Gungsuh" w:cs="Gungsuh"/>
              <w:color w:val="000000"/>
              <w:sz w:val="26"/>
              <w:szCs w:val="26"/>
            </w:rPr>
            <w:t xml:space="preserve">начинается иллюстрация, поясняющие данные − на любой из страниц, на которой расположена данная иллюстрация, а под ними или непосредственно под иллюстрацией на каждой из страниц, на которых расположена данная иллюстрация, указывают «Рисунок ___, лист ____».</w:t>
          </w:r>
        </w:sdtContent>
      </w:sdt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5.6. Диаграммы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Диаграммы следует выполнять в соответствии с требованиями P 50-77-88.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Диаграммы следует в</w:t>
      </w:r>
      <w:r>
        <w:rPr>
          <w:rFonts w:ascii="Times New Roman" w:hAnsi="Times New Roman"/>
          <w:color w:val="000000"/>
          <w:sz w:val="26"/>
          <w:szCs w:val="26"/>
        </w:rPr>
        <w:t xml:space="preserve">ыполнять линиями по ГОСТ 2.303-68. Оси координат и шкал, ограничивающие поле диаграммы, следует выполнять сплошными основными линиями, линии координатной сетки и делительные штрихи – сплошной тонкой линией. Функциональные зависимости предпочтительно выполн</w:t>
      </w:r>
      <w:r>
        <w:rPr>
          <w:rFonts w:ascii="Times New Roman" w:hAnsi="Times New Roman"/>
          <w:color w:val="000000"/>
          <w:sz w:val="26"/>
          <w:szCs w:val="26"/>
        </w:rPr>
        <w:t xml:space="preserve">ять сплошной линией. Толщина линий определяется требуемой точностью отсчета. При изображении двух и более зависимостей на одной диаграмме допускается использовать линии различных типов: сплошную, штриховую и т.п. в соответствии с рисунком К.1 приложения 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Характерные точки линий функциональной з</w:t>
      </w:r>
      <w:r>
        <w:rPr>
          <w:rFonts w:ascii="Times New Roman" w:hAnsi="Times New Roman"/>
          <w:color w:val="000000"/>
          <w:sz w:val="26"/>
          <w:szCs w:val="26"/>
        </w:rPr>
        <w:t xml:space="preserve">ависимости рекомендуется изображать кружком в соответствии с рисунком К.2 приложения К. Точки, полученные путем измерения или расчетов, допускается обозначать графически, например крестиком, треугольником и т.д., в соответствии с рисунком К.3 приложения 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Графики для информационного изображения функциональных зависимосте</w:t>
      </w:r>
      <w:r>
        <w:rPr>
          <w:rFonts w:ascii="Times New Roman" w:hAnsi="Times New Roman"/>
          <w:color w:val="000000"/>
          <w:sz w:val="26"/>
          <w:szCs w:val="26"/>
        </w:rPr>
        <w:t xml:space="preserve">й допускается выполнять без шкал значений величин. При этом оси координат следует заканчивать стрелками, указывающими направление возрастания значений величин. Обозначение величин следует размещать вблизи стрелок в соответствии с рисунком К.2 приложения 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выполнени</w:t>
      </w:r>
      <w:r>
        <w:rPr>
          <w:rFonts w:ascii="Times New Roman" w:hAnsi="Times New Roman"/>
          <w:color w:val="000000"/>
          <w:sz w:val="26"/>
          <w:szCs w:val="26"/>
        </w:rPr>
        <w:t xml:space="preserve">и графиков, по которым можно установить количественную связь (графиков со шкалами), допускается применять стрелки: либо за пределами шкал в соответствии с рисунком К.3 приложения К, либо параллельно оси координат в соответствии с рисунком К.4 приложения 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Координатные оси как шкалы значений изображаемых величин должны быть разделены на графические интервалы одним из следующих способов: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а) координатной сеткой в соответствии с рисунком К.4 приложения К;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б) делительными штрихами в соответствии с рисунком К.3 приложения К;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в) сочетанием координатной сетки и делительных штрихов в соответствии с рисунком К.1 приложения 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Числа у шкал следует размещать вне поля диаграммы и располагать горизонтально.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Величины, связанные функциональной зависимостью, следует указывать одним из следующих способов: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а) символом в соответствии с рисунками К.1, К.2, П.4 приложения К;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б) наименованием в соответствии с рисунком К.3 приложения К;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в) математическим выражением в соответствии с рисунком К.1 приложения П.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диаграммах со шкалами обозначение величины размещается у середины шкалы с её внешней стороны, а при объединении символа с единицей величины - в виде дроби в конце шкалы в соответствии с рисунком К.1 приложения Р.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Единицы величины наносят: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а) в конце шкалы между последним и предпоследним числами шкалы в соответствии с рисунками К.2, К.4 приложения К;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б) вместе с обозначением переменной величины после запятой в соответствии с рисунком К.3 приложения К;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в) в конце шкалы после последнего числа в виде дроби, в числителе которой обозначение величины, а в знаменателе – единица величины, в соответствии с рисунком К.1 приложения 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Пересечение надписей и линий на диаграмме не допускается. При недостатке места следует прерывать линию.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Примеры оформления диаграмм приведены в приложении К.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5.7. Формулы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Формулы, за исключением помещаемых в приложениях, </w:t>
      </w:r>
      <w:r>
        <w:rPr>
          <w:rFonts w:ascii="Times New Roman" w:hAnsi="Times New Roman"/>
          <w:color w:val="000000"/>
          <w:sz w:val="26"/>
          <w:szCs w:val="26"/>
        </w:rPr>
        <w:t xml:space="preserve">таблицах и поясняющих данных к графическому материалу, нумеруют сквозной нумерацией арабскими цифрами. При этом номер формулы записывают в круглых скобках на одном уровне с ней справа от формулы. Если в тексте ВКР приведена одна формула, ее обозначают (1).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(3.1)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Формулы, помещаемые в приложениях, нумеруют арабскими цифрами отдельной нумерацией в пределах каждого приложения, добавляя перед каждым номером обозначение данного приложения и разделяя их точкой.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(В.1)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Формулы, помещаемые в таблицах или в поясняющих данных к рисунку, не нумеруют.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Формулы выделяют из основного текста в отдельную строку с интервалом, равным одному межстрочному расстоянию.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формулах в качестве символов следует применять обозначения, установленные соответствующими государственными стандартами.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Пояснения символов и числовых коэффициентов, входящих в формулу (если соответствующие пояснения не приведены ранее в тексте), приводят непосредственно под формулой.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Пояснения каждого символа приводят с новой строки в той последовательности, в которой эти символы приведены в формуле. Первую строку пояснения начинают со слова «где».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Плотность каждого образца (ρ, кг/м³) вычисляют по формуле  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left="720"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                             </w:t>
      </w:r>
      <m:oMath>
        <m:r>
          <w:rPr>
            <w:rFonts w:ascii="Cambria Math" w:hAnsi="Cambria Math" w:eastAsia="Cambria Math" w:cs="Cambria Math"/>
            <w:color w:val="000000"/>
            <w:sz w:val="26"/>
            <w:szCs w:val="26"/>
          </w:rPr>
          <m:rPr/>
          <m:t>p=</m:t>
        </m:r>
        <m:f>
          <m:fPr>
            <m:ctrlPr>
              <w:rPr>
                <w:rFonts w:ascii="Cambria Math" w:hAnsi="Cambria Math" w:eastAsia="Cambria Math" w:cs="Cambria Math"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 w:eastAsia="Cambria Math" w:cs="Cambria Math"/>
                <w:color w:val="000000"/>
                <w:sz w:val="26"/>
                <w:szCs w:val="26"/>
              </w:rPr>
              <m:rPr/>
              <m:t>m</m:t>
            </m:r>
          </m:num>
          <m:den>
            <m:r>
              <w:rPr>
                <w:rFonts w:ascii="Cambria Math" w:hAnsi="Cambria Math" w:eastAsia="Cambria Math" w:cs="Cambria Math"/>
                <w:color w:val="000000"/>
                <w:sz w:val="26"/>
                <w:szCs w:val="26"/>
              </w:rPr>
              <m:rPr/>
              <m:t>v</m:t>
            </m:r>
          </m:den>
        </m:f>
      </m:oMath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,                                                                   (1)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</w:r>
      <w:r>
        <w:rPr>
          <w:rFonts w:ascii="Times New Roman" w:hAnsi="Times New Roman"/>
          <w:b/>
          <w:i/>
          <w:sz w:val="26"/>
          <w:szCs w:val="26"/>
        </w:rPr>
      </w:r>
      <w:r>
        <w:rPr>
          <w:rFonts w:ascii="Times New Roman" w:hAnsi="Times New Roman"/>
          <w:b/>
          <w:i/>
          <w:sz w:val="26"/>
          <w:szCs w:val="26"/>
        </w:rPr>
      </w:r>
    </w:p>
    <w:p>
      <w:pPr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где </w:t>
      </w:r>
      <w:r>
        <w:rPr>
          <w:rFonts w:ascii="Times New Roman" w:hAnsi="Times New Roman"/>
          <w:b/>
          <w:i/>
          <w:sz w:val="26"/>
          <w:szCs w:val="26"/>
        </w:rPr>
        <w:t xml:space="preserve">m</w:t>
      </w:r>
      <w:r>
        <w:rPr>
          <w:rFonts w:ascii="Times New Roman" w:hAnsi="Times New Roman"/>
          <w:b/>
          <w:i/>
          <w:sz w:val="26"/>
          <w:szCs w:val="26"/>
        </w:rPr>
        <w:t xml:space="preserve"> – масса образца, кг;</w:t>
      </w:r>
      <w:r>
        <w:rPr>
          <w:rFonts w:ascii="Times New Roman" w:hAnsi="Times New Roman"/>
          <w:b/>
          <w:i/>
          <w:sz w:val="26"/>
          <w:szCs w:val="26"/>
        </w:rPr>
      </w:r>
      <w:r>
        <w:rPr>
          <w:rFonts w:ascii="Times New Roman" w:hAnsi="Times New Roman"/>
          <w:b/>
          <w:i/>
          <w:sz w:val="26"/>
          <w:szCs w:val="26"/>
        </w:rPr>
      </w:r>
    </w:p>
    <w:p>
      <w:pPr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    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v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– объем образца, м³.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20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Формулы, следующие одна за другой и не разделенные текстом, отделяются запятой.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</w:t>
      </w:r>
      <w:r>
        <w:rPr>
          <w:rFonts w:ascii="Times New Roman" w:hAnsi="Times New Roman"/>
          <w:i/>
          <w:color w:val="000000"/>
          <w:sz w:val="26"/>
          <w:szCs w:val="26"/>
        </w:rPr>
        <w:t xml:space="preserve">–                                   </w:t>
      </w:r>
      <m:oMath>
        <m:r>
          <w:rPr>
            <w:rFonts w:ascii="Cambria Math" w:hAnsi="Cambria Math" w:eastAsia="Cambria Math" w:cs="Cambria Math"/>
            <w:color w:val="000000"/>
            <w:sz w:val="32"/>
            <w:szCs w:val="32"/>
          </w:rPr>
          <m:rPr/>
          <m:t>А=</m:t>
        </m:r>
        <m:f>
          <m:fPr>
            <m:ctrlPr>
              <w:rPr>
                <w:rFonts w:ascii="Cambria Math" w:hAnsi="Cambria Math" w:eastAsia="Cambria Math" w:cs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hAnsi="Cambria Math" w:eastAsia="Cambria Math" w:cs="Cambria Math"/>
                <w:color w:val="000000"/>
                <w:sz w:val="32"/>
                <w:szCs w:val="32"/>
              </w:rPr>
              <m:rPr/>
              <m:t>а</m:t>
            </m:r>
          </m:num>
          <m:den>
            <m:r>
              <w:rPr>
                <w:rFonts w:ascii="Cambria Math" w:hAnsi="Cambria Math" w:eastAsia="Cambria Math" w:cs="Cambria Math"/>
                <w:color w:val="000000"/>
                <w:sz w:val="32"/>
                <w:szCs w:val="32"/>
              </w:rPr>
              <m:rPr/>
              <m:t>в</m:t>
            </m:r>
          </m:den>
        </m:f>
      </m:oMath>
      <w:r>
        <w:rPr>
          <w:rFonts w:ascii="Times New Roman" w:hAnsi="Times New Roman"/>
          <w:b/>
          <w:i/>
          <w:color w:val="000000"/>
          <w:sz w:val="32"/>
          <w:szCs w:val="32"/>
        </w:rPr>
        <w:t xml:space="preserve"> </w:t>
      </w:r>
      <w:r>
        <w:rPr>
          <w:rFonts w:ascii="Times New Roman" w:hAnsi="Times New Roman"/>
          <w:i/>
          <w:color w:val="000000"/>
          <w:sz w:val="26"/>
          <w:szCs w:val="26"/>
        </w:rPr>
        <w:t xml:space="preserve">,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                                                     (1)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i/>
          <w:color w:val="000000"/>
          <w:sz w:val="32"/>
          <w:szCs w:val="32"/>
        </w:rPr>
        <w:t xml:space="preserve">                                           </w:t>
      </w:r>
      <m:oMath>
        <m:r>
          <w:rPr>
            <w:rFonts w:ascii="Cambria Math" w:hAnsi="Cambria Math" w:eastAsia="Cambria Math" w:cs="Cambria Math"/>
            <w:color w:val="000000"/>
            <w:sz w:val="32"/>
            <w:szCs w:val="32"/>
          </w:rPr>
          <m:rPr/>
          <m:t>В=</m:t>
        </m:r>
        <m:f>
          <m:fPr>
            <m:ctrlPr>
              <w:rPr>
                <w:rFonts w:ascii="Cambria Math" w:hAnsi="Cambria Math" w:eastAsia="Cambria Math" w:cs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hAnsi="Cambria Math" w:eastAsia="Cambria Math" w:cs="Cambria Math"/>
                <w:color w:val="000000"/>
                <w:sz w:val="32"/>
                <w:szCs w:val="32"/>
              </w:rPr>
              <m:rPr/>
              <m:t>с</m:t>
            </m:r>
          </m:num>
          <m:den>
            <m:r>
              <w:rPr>
                <w:rFonts w:ascii="Cambria Math" w:hAnsi="Cambria Math" w:eastAsia="Cambria Math" w:cs="Cambria Math"/>
                <w:color w:val="000000"/>
                <w:sz w:val="32"/>
                <w:szCs w:val="32"/>
              </w:rPr>
              <m:rPr/>
              <m:t>е</m:t>
            </m:r>
          </m:den>
        </m:f>
      </m:oMath>
      <w:r>
        <w:rPr>
          <w:rFonts w:ascii="Times New Roman" w:hAnsi="Times New Roman"/>
          <w:b/>
          <w:i/>
          <w:color w:val="000000"/>
          <w:sz w:val="32"/>
          <w:szCs w:val="32"/>
        </w:rPr>
        <w:t xml:space="preserve"> </w:t>
      </w:r>
      <w:r>
        <w:rPr>
          <w:rFonts w:ascii="Times New Roman" w:hAnsi="Times New Roman"/>
          <w:i/>
          <w:color w:val="000000"/>
          <w:sz w:val="26"/>
          <w:szCs w:val="26"/>
        </w:rPr>
        <w:t xml:space="preserve">.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                                                    (2)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Переносить формулы на следующую строку допускается только на знаках выполняемых математических операций, причем знак в начале следующей строки повторяют. При переносе формулы на знаке, символизирующем операцию умножения, применяют знак «×».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ссылке в тексте ВКР на формулы их порядковые номера приводят в скобках.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…по формуле (1).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Затем в формулу подставляют числовые значения входящих параметров и приводят результат вычисления с обязательным указанием единицы физической величины.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Порядок изложения в ВКР математических уравнений такой же, как и формул.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5.8. Величины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тексте ВКР применяют стандартизованные единицы величин, их наименования и обозначения, установленные ГОСТ 8.417. При этом наряду с единицами СИ при необходимости в скобках указывают единицы ранее использованных систем, разрешенных к применению.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Применение по тексту ВКР разных систем обозначения физических величин не допускается.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Обозначения единиц величин могут быть приведены в заголовках (подзаголовках) граф и строк таблиц и пояснениях символов, используемых в формулах, а в остальных случаях - только при числовых значениях этих величин.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Между последней цифрой числа и обозначением единицы оставляют пробел, исключение составляют обозначения в виде знака, поднятого над строкой.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 … 100 кВт, 80 %, 20 ˚С.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 … 20˚.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пределах текста ВКР для одного и того же показателя (параметра, размера) применяют одну и ту же единицу величины.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в тексте ВКР приведен ряд числовых значений величины, который выражен одной и той же единицей величины, то обозначение единицы величины указывают только после последнего числового значения.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1,0; 1,5; 2,0; 2,5 бит.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8.8.5 Интервалы чисел в тексте ВКР записывают со словами «от», «до» (имея в виду «от...до…» включительно), если после чисел указана единица величины, или через тире, если эти числа являются безразмерными коэффициентами.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в тексте ВКР приводят диапазон числовых значений величины, который выражен одной и той же единицей величины, то обозначение единицы величины указывают за последним числовым значением диапазона, за исключением знаков «%», «˚С», «... º».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1…от 10 до 100 кг ...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2…от 65 % до 70 % ...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3…от 10 ˚С до 20 ˚С ...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4 ... от 5˚ до 7˚ ...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интервал чисел охватывает порядковые номера, то для записи интервала используют тире.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sdt>
        <w:sdtPr>
          <w15:appearance w15:val="boundingBox"/>
          <w:id w:val="-582690414"/>
          <w:tag w:val="goog_rdk_3"/>
          <w:rPr/>
        </w:sdtPr>
        <w:sdtContent>
          <w:r>
            <w:rPr>
              <w:rFonts w:ascii="Gungsuh" w:hAnsi="Gungsuh" w:eastAsia="Gungsuh" w:cs="Gungsuh"/>
              <w:b/>
              <w:i/>
              <w:color w:val="000000"/>
              <w:sz w:val="26"/>
              <w:szCs w:val="26"/>
            </w:rPr>
            <w:t xml:space="preserve">Пример − рисунки 1−14.</w:t>
          </w:r>
        </w:sdtContent>
      </w:sdt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Числовое значение, представляющее собой дробь с косой чертой, стоящее перед обозначением единицы, заключают в скобки.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4335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(1/60)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s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²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709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Не допускается отделять единицу величины от числового значения (разносить их на разные строки или страницы), кроме единиц величин, помещаемых в таблицах</w:t>
      </w:r>
      <w:r>
        <w:rPr>
          <w:rFonts w:ascii="Times New Roman" w:hAnsi="Times New Roman"/>
          <w:color w:val="000000"/>
          <w:sz w:val="26"/>
          <w:szCs w:val="26"/>
        </w:rPr>
        <w:br/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В тексте ВКР числовые значения с обозначением единиц счета или единиц величин записывают цифрами, а числа без обозначения единиц величин (единиц счета) от единицы до девяти – словами.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Дробные числа приводят в виде десятичных дробей, за исключением размеров в дюймах, которые следует записывать: 1/ 4" ; 1/ 2"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записи десятичных дробей не допускается заменять точкой запятую, отделяющую целую часть числа от дробной.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невозможности выразить числовое значение в виде десятичной дроби допускается записывать его в виде простой дроби в одну строчку через косую черту.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5/32.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Дл</w:t>
      </w:r>
      <w:r>
        <w:rPr>
          <w:rFonts w:ascii="Times New Roman" w:hAnsi="Times New Roman"/>
          <w:color w:val="000000"/>
          <w:sz w:val="26"/>
          <w:szCs w:val="26"/>
        </w:rPr>
        <w:t xml:space="preserve">я указания в тексте ВКР предельных (допускаемых) отклонений от номинальных значений показателя (параметра, размера) числовые значения (номинальные и предельные) приводят в скобках, при этом у них должно быть одинаковое количество дробных десятичных знаков.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 (65±2) %.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 (7,0 ± 0,4) кг</w:t>
      </w:r>
      <w:r>
        <w:rPr>
          <w:rFonts w:ascii="Times New Roman" w:hAnsi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Для выражения числовых значений применяют арабские цифры, допускается применять римские цифры только для обозначения сорта (категории, класса и т. п.) продукции, валентности химических элементов, кварталов года.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использовании римских цифр, числовых значений для обозначения календарных дат и выражения количественных числительных в арифметической </w:t>
      </w:r>
      <w:r>
        <w:rPr>
          <w:rFonts w:ascii="Times New Roman" w:hAnsi="Times New Roman"/>
          <w:color w:val="000000"/>
          <w:sz w:val="26"/>
          <w:szCs w:val="26"/>
        </w:rPr>
        <w:t xml:space="preserve">дроби не приводят падежные окончания после них, за исключением случаев, когда указывают концентрацию раствора.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 …I полугодие, 9 мая 2008 г.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 …5 %-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ный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раствор.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5.9. Сокращения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тексте ВКР могут быть установлены сокращения, применяемые тол</w:t>
      </w:r>
      <w:r>
        <w:rPr>
          <w:rFonts w:ascii="Times New Roman" w:hAnsi="Times New Roman"/>
          <w:color w:val="000000"/>
          <w:sz w:val="26"/>
          <w:szCs w:val="26"/>
        </w:rPr>
        <w:t xml:space="preserve">ько в данной работе. При этом полное название следует приводить при его первом упоминании в тексте ВКР, а после полного названия в скобках – сокращенное название или аббревиатуру. При последующем упоминании используют сокращенное название или аббревиатуру.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sdt>
        <w:sdtPr>
          <w15:appearance w15:val="boundingBox"/>
          <w:id w:val="629903561"/>
          <w:tag w:val="goog_rdk_4"/>
          <w:rPr/>
        </w:sdtPr>
        <w:sdtContent>
          <w:r>
            <w:rPr>
              <w:rFonts w:ascii="Gungsuh" w:hAnsi="Gungsuh" w:eastAsia="Gungsuh" w:cs="Gungsuh"/>
              <w:b/>
              <w:i/>
              <w:color w:val="000000"/>
              <w:sz w:val="26"/>
              <w:szCs w:val="26"/>
            </w:rPr>
            <w:t xml:space="preserve">1 Настоящий стандарт распространяется на малокалиберные однозарядные пистолеты (далее − пистолеты).</w:t>
          </w:r>
        </w:sdtContent>
      </w:sdt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 База Данных (БД)…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в тексте ВКР принята особая система сокращения слов и наименований, то перечень принятых сокращений должен быть приведен в структурном элементе «Обозначения и сокращения». В этом случае форму записи, установленную в пункте выше, не применяют.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5.10. Примечания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Примечания следует помещать непосредственно после текстового, графического материала, к которым относятся эти примечания, и печатать с прописной буквы с абзаца.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примечание одно, то после слова «Примечание» ставится тире и примечание печатается тоже с прописной буквы. Одно примечание не нумеруют.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Несколько примечаний нумеруют по порядку арабскими цифрами.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 П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р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и м е ч а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н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и е – Предпочтительным является применение труб с параметрами, значения которых обведены утолщенной линией.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 П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р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и м е ч а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н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и я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1 В категорию самостоятельных испытаний в обоснованных случаях могут быть выделены испытания на надежность, радиационную стойкость и др.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2 Для целей сертификации продукции проводят сертификационные испытания или используют результаты испытаний других категорий в порядке, установленном правилами сертификации.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Примечание к таблице помещают в конце таблицы над линией, обозначающей окончание таблицы.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Примечания выделяют уменьшенным размером шрифта (12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Слово «П </w:t>
      </w:r>
      <w:r>
        <w:rPr>
          <w:rFonts w:ascii="Times New Roman" w:hAnsi="Times New Roman"/>
          <w:color w:val="000000"/>
          <w:sz w:val="26"/>
          <w:szCs w:val="26"/>
        </w:rPr>
        <w:t xml:space="preserve">р</w:t>
      </w:r>
      <w:r>
        <w:rPr>
          <w:rFonts w:ascii="Times New Roman" w:hAnsi="Times New Roman"/>
          <w:color w:val="000000"/>
          <w:sz w:val="26"/>
          <w:szCs w:val="26"/>
        </w:rPr>
        <w:t xml:space="preserve"> и м е ч а </w:t>
      </w:r>
      <w:r>
        <w:rPr>
          <w:rFonts w:ascii="Times New Roman" w:hAnsi="Times New Roman"/>
          <w:color w:val="000000"/>
          <w:sz w:val="26"/>
          <w:szCs w:val="26"/>
        </w:rPr>
        <w:t xml:space="preserve">н</w:t>
      </w:r>
      <w:r>
        <w:rPr>
          <w:rFonts w:ascii="Times New Roman" w:hAnsi="Times New Roman"/>
          <w:color w:val="000000"/>
          <w:sz w:val="26"/>
          <w:szCs w:val="26"/>
        </w:rPr>
        <w:t xml:space="preserve"> и е» печатают с межсимвольным интервалом - разреженный (2,5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5.11. Сноски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Если необходимо пояснить отдельные слова, словосочетания или данные, приведенные в ВКР, то после них ставят надстрочный знак сноски.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Сноску располагают в конце страницы, на которой приведено поясняемое слово (словосочетание или данные), а сноску, относящуюся к данным таблицы, - в конце таблицы над линией, обозначающей окончание таблицы. При этом сноск</w:t>
      </w:r>
      <w:r>
        <w:rPr>
          <w:rFonts w:ascii="Times New Roman" w:hAnsi="Times New Roman"/>
          <w:color w:val="000000"/>
          <w:sz w:val="26"/>
          <w:szCs w:val="26"/>
        </w:rPr>
        <w:t xml:space="preserve">у отделяют от текста короткой сплошной тонкой горизонтальной линией с левой стороны страницы, а от данных таблицы - такой же линией, но проведенной до вертикальных линий, ограничивающих таблицу. Кроме этого, сноску выделяют уменьшенным размером шрифта (12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).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конце сноски ставят точку.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Знак сноски ставят непосредственно после того слова (последнего слова словосочетания, числа, символа), к которому дается пояснение, а также перед поясняющим текстом.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Знак сноски выполняют арабской цифрой со скобкой или в виде звездочки («*»), двух или трех звездочек («**» или «***»), помещая их на уровне верхнего обреза шрифта. Знак сноски отделяют от ее текста пробелом.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Примеры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 Основанием для выполнения НИР служит Т3¹⁾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на ее выполнение и/или договор (контракт) с заказчиком ²⁾ - в случае выполнения работы по заказу.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…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_____________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1) Т3 утверждает руководитель предприятия (организации) – заказчика (в случае договорных НИР) или руководитель предприятия-исполнителя (в случае инициативных НИР).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2) Заказчиком НИР может быть заказчик или субъект хозяйствования любой формы собственности, заинтересованный в ее результатах.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2 …частота вибрации* ±0,5 Гц на частотах до 35 Гц…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______________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* При испытаниях методом фиксированных частот.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Для каждой страницы используют отдельную систему нумерации (обозначений) сносок. При этом применение более трех звездочек не допускается.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5.12. Схемы алгоритмов, программ, данных и систем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Схемы алгоритмов, программ, данных и систем (далее - схемы) состоят из имеющих заданное значение символов, краткого пояснительного текста и соединяющих линий.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 Схемы могут использоваться на различных уровнях детализации, причем число уровней зависит от размеров и сложности задачи обработки данных. Уровень детализации должен быть таким, чтобы различные части и взаимосвязь между ними были понятны в целом.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Общие требования к их выполнению установлены ГОСТ 19.701-90, ГОСТ 19.504-79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5.13. Приложения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Приложения выполняют на листах формата А4.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Приложения обозначают прописными буквами русского алфавита, начиная с А (за исключением букв Ё, З, Й, О, Ч, Ь, Ы, Ъ), которые приводят после слова «Приложение».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случае полного использования букв русского алфавита приложения обозначают арабскими цифрами.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наличии в ВКР одного приложения оно обозначается «Приложение А».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Каждое приложение начинают с новой страницы с указанием наверху посередине страницы с прописной буквы слова «Приложение» и его обозначения.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Приложение должно иметь заголовок, который располагают симметрично относительно текста в виде отдельной строки, печатают строчными буквами с первой прописной и выделяют полужирным шрифтом, размер – 14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Текст каждого приложения при необходимости может быть разделен на разделы, подразделы, пункты, подпункты, которые нумеруют в пределах каждого приложения. Перед номером ставится буквенное обозначение этого приложения, отделенное точкой.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Рисунки, таблицы, формулы, помещаемые в приложения, нумеруют арабскими цифрами в пределах каждого приложения.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Приложения должны иметь общую с остальной частью ВКР сквозную нумерацию страниц.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тексте ВКР на все приложения должны быть даны ссылки.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Приложения располагают в порядке ссылок на них в тексте ВКР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5.14. Список использованных источников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список включают все источники, на которые имеются ссылки в тексте ВКР.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Сведения об источниках следует располагать в порядке появления ссылок в тексте, нумеровать арабскими цифрами без точки и печатать с абзацного отступа.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Ссылки в тексте приводят в квадратных скобках.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i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Пример – [5], [7, 8, 9], [8-13, 44-56].</w:t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Допускается располагать сведения об источниках в списке: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5"/>
        </w:numPr>
        <w:ind w:left="993" w:hanging="283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в алфавитном порядке;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5"/>
        </w:numPr>
        <w:ind w:left="993" w:hanging="283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 разделам;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numPr>
          <w:ilvl w:val="0"/>
          <w:numId w:val="5"/>
        </w:numPr>
        <w:ind w:left="993" w:hanging="283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по видам источников.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 составлении списка в алфавитном порядке и </w:t>
      </w:r>
      <w:r>
        <w:rPr>
          <w:rFonts w:ascii="Times New Roman" w:hAnsi="Times New Roman"/>
          <w:color w:val="000000"/>
          <w:sz w:val="26"/>
          <w:szCs w:val="26"/>
        </w:rPr>
        <w:t xml:space="preserve">наличии в нем источников на разных языках образуются дополнительные алфавитные ряды, которые приводят в следующей последовательности: на русском языке, на языках с кириллическим алфавитом, на языках с латинским алфавитом, на языках с оригинальной графикой.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Нумерация источников в списке сохраняется сквозная.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Структурный элемент ВКР «Список использованных источников» размещают после заключения.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Сокращение слов – по ГОСТ 7.11, ГОСТ Р 7.0.12.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Примеры библиографической записи приведены в приложении Л.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6. Кодирование письменных студенческих работ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Письменные студенческие работы кодируются в соответствии с рисунком 2.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Рисунок 2 - Структура обозначения письменных студенческих работ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>
        <w:br w:type="page" w:clear="all"/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Приложение А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Оформление обложки ВКР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tbl>
      <w:tblPr>
        <w:tblStyle w:val="882"/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АВТОНОМНАЯ НЕКОММЕРЧЕСКАЯ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ПРОФЕССИОНАЛЬНАЯ ОБРАЗОВАТЕЛЬНАЯ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ТОП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ПОЯСНИТЕЛЬНАЯ ЗАПИСКА</w:t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К ВЫПУСКНОЙ КВАЛИФИКАЦИОННОЙ РАБОТЕ</w:t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Уровень профессионального образования:</w:t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Среднее профессиональное образование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___________________________________________</w:t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 темы ВКР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Студент      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______________________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Инициалы Фамилия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ind w:firstLine="709"/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 </w:t>
      </w:r>
      <w:r>
        <w:rPr>
          <w:rFonts w:ascii="Times New Roman" w:hAnsi="Times New Roman"/>
          <w:color w:val="000000"/>
          <w:sz w:val="26"/>
          <w:szCs w:val="26"/>
        </w:rPr>
        <w:t xml:space="preserve">р</w:t>
      </w:r>
      <w:r>
        <w:rPr>
          <w:rFonts w:ascii="Times New Roman" w:hAnsi="Times New Roman"/>
          <w:color w:val="000000"/>
          <w:sz w:val="26"/>
          <w:szCs w:val="26"/>
        </w:rPr>
        <w:t xml:space="preserve"> и м е ч а </w:t>
      </w:r>
      <w:r>
        <w:rPr>
          <w:rFonts w:ascii="Times New Roman" w:hAnsi="Times New Roman"/>
          <w:color w:val="000000"/>
          <w:sz w:val="26"/>
          <w:szCs w:val="26"/>
        </w:rPr>
        <w:t xml:space="preserve">н</w:t>
      </w:r>
      <w:r>
        <w:rPr>
          <w:rFonts w:ascii="Times New Roman" w:hAnsi="Times New Roman"/>
          <w:color w:val="000000"/>
          <w:sz w:val="26"/>
          <w:szCs w:val="26"/>
        </w:rPr>
        <w:t xml:space="preserve"> и е – Размеры бланка –130×170 мм, шрифт - полужирный, размер шрифта –14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br w:type="page" w:clear="all"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Приложение Б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Оформление титульного листа ВКР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tbl>
      <w:tblPr>
        <w:tblStyle w:val="883"/>
        <w:tblW w:w="8363" w:type="dxa"/>
        <w:tblInd w:w="7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363"/>
      </w:tblGrid>
      <w:tr>
        <w:tblPrEx/>
        <w:trPr/>
        <w:tc>
          <w:tcPr>
            <w:tcW w:w="8363" w:type="dxa"/>
            <w:textDirection w:val="lrTb"/>
            <w:noWrap w:val="false"/>
          </w:tcPr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АВТОНОМНАЯ НЕКОММЕРЧЕСКАЯ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ПРОФЕССИОНАЛЬНАЯ ОБРАЗОВАТЕЛЬНАЯ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ТОП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ВЫПУСКНАЯ КВАЛИФИКАЦИОННАЯ РАБОТА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(16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pt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полужирный)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Уровень профессионального образования: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Среднее профессиональное образование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27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Направление подготовки (специальность):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09.02.07 Информационные системы и программирование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</w:r>
            <w:r>
              <w:rPr>
                <w:rFonts w:ascii="Times New Roman" w:hAnsi="Times New Roman"/>
                <w:i/>
                <w:sz w:val="26"/>
                <w:szCs w:val="26"/>
              </w:rPr>
            </w:r>
            <w:r>
              <w:rPr>
                <w:rFonts w:ascii="Times New Roman" w:hAnsi="Times New Roman"/>
                <w:i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___________________________________________</w:t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наименование темы ВКР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Пояснительная записка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АНО ПОО ММКЦТ «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ТОП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»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09.02.07. 1. 22. 234 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73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32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Научный руководитель  __________________      _________________              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32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одпись дата                       инициалы фамилия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firstLine="32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firstLine="32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Нормоконтролер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           __________________      _________________              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32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подпись дата                       инициалы фамилия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firstLine="32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firstLine="32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Обучающийся                  __________________      _________________              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подпись дата                       инициалы фамилия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Москва 2022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</w:tc>
      </w:tr>
    </w:tbl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left="720" w:hanging="10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10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10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 </w:t>
      </w:r>
      <w:r>
        <w:rPr>
          <w:rFonts w:ascii="Times New Roman" w:hAnsi="Times New Roman"/>
          <w:color w:val="000000"/>
          <w:sz w:val="26"/>
          <w:szCs w:val="26"/>
        </w:rPr>
        <w:t xml:space="preserve">р</w:t>
      </w:r>
      <w:r>
        <w:rPr>
          <w:rFonts w:ascii="Times New Roman" w:hAnsi="Times New Roman"/>
          <w:color w:val="000000"/>
          <w:sz w:val="26"/>
          <w:szCs w:val="26"/>
        </w:rPr>
        <w:t xml:space="preserve"> и м е ч а </w:t>
      </w:r>
      <w:r>
        <w:rPr>
          <w:rFonts w:ascii="Times New Roman" w:hAnsi="Times New Roman"/>
          <w:color w:val="000000"/>
          <w:sz w:val="26"/>
          <w:szCs w:val="26"/>
        </w:rPr>
        <w:t xml:space="preserve">н</w:t>
      </w:r>
      <w:r>
        <w:rPr>
          <w:rFonts w:ascii="Times New Roman" w:hAnsi="Times New Roman"/>
          <w:color w:val="000000"/>
          <w:sz w:val="26"/>
          <w:szCs w:val="26"/>
        </w:rPr>
        <w:t xml:space="preserve"> и 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left="720" w:hanging="10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 Неуказанные размеры шрифта – 14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.</w:t>
      </w:r>
      <w:r>
        <w:rPr>
          <w:rFonts w:eastAsia="Calibri" w:cs="Calibri"/>
          <w:color w:val="000000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2 Оформление реквизитов «подпись» и «дата» синими чернилами.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 Переносы слов в надписях титульного листа не допускаются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Приложение В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Бланк «Задание на выполнение ВКР»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tbl>
      <w:tblPr>
        <w:tblStyle w:val="884"/>
        <w:tblW w:w="935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963"/>
        <w:gridCol w:w="4678"/>
      </w:tblGrid>
      <w:tr>
        <w:tblPrEx/>
        <w:trPr>
          <w:trHeight w:val="2178"/>
        </w:trPr>
        <w:tc>
          <w:tcPr>
            <w:gridSpan w:val="2"/>
            <w:tcW w:w="4672" w:type="dxa"/>
            <w:textDirection w:val="lrTb"/>
            <w:noWrap w:val="false"/>
          </w:tcPr>
          <w:p>
            <w:pPr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4678" w:type="dxa"/>
            <w:textDirection w:val="lrTb"/>
            <w:noWrap w:val="false"/>
          </w:tcPr>
          <w:p>
            <w:pPr>
              <w:ind w:left="36" w:hanging="36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Утверждаю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left="36" w:hanging="36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заведующий кафедрой 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left="36" w:hanging="36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left="36" w:hanging="36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</w:rPr>
              <w:t xml:space="preserve">(наименование кафедры)</w:t>
            </w: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</w:r>
          </w:p>
          <w:p>
            <w:pPr>
              <w:ind w:left="36" w:hanging="36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 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left="36" w:hanging="36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</w:rPr>
              <w:t xml:space="preserve">подпись                    инициалы фамилия</w:t>
            </w: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</w:r>
          </w:p>
          <w:p>
            <w:pPr>
              <w:ind w:left="36" w:hanging="36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«____»__________________20____г.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641" w:type="dxa"/>
            <w:textDirection w:val="lrTb"/>
            <w:noWrap w:val="false"/>
          </w:tcPr>
          <w:p>
            <w:pPr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ЗАДАНИЕ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(16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полужирный)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на выполнение выпускной квалификационной работы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(14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полужирный)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студенту 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(фамилия имя отчество)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 направлению подготовки (специальности) ______________________________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код наименование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Тема ВКР____________________________________________________________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 Срок сдачи студентом ВКР «_____» _______________ 20___ г.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 Цель и задачи ВКР 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 Исходные данные к ВКР 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 Перечень вопросов, подлежащих разработке 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 Перечень графического (иллюстративного) материала 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7 Консультанты, с указанием относящихся к ним разделов ВКР 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выдачи и получения задания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ВКР «____» ___________20___ г. _____________ 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подпись        инициалы фамилия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Обучающийся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выполнения обучающимся задания консультанта «____»___________ 20__ г.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Консультант  «____» ___________20___ г. _____________ 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 </w:t>
      </w:r>
      <w:r>
        <w:rPr>
          <w:rFonts w:ascii="Times New Roman" w:hAnsi="Times New Roman"/>
          <w:color w:val="000000"/>
          <w:sz w:val="26"/>
          <w:szCs w:val="26"/>
        </w:rPr>
        <w:t xml:space="preserve">р</w:t>
      </w:r>
      <w:r>
        <w:rPr>
          <w:rFonts w:ascii="Times New Roman" w:hAnsi="Times New Roman"/>
          <w:color w:val="000000"/>
          <w:sz w:val="26"/>
          <w:szCs w:val="26"/>
        </w:rPr>
        <w:t xml:space="preserve"> и м е ч а </w:t>
      </w:r>
      <w:r>
        <w:rPr>
          <w:rFonts w:ascii="Times New Roman" w:hAnsi="Times New Roman"/>
          <w:color w:val="000000"/>
          <w:sz w:val="26"/>
          <w:szCs w:val="26"/>
        </w:rPr>
        <w:t xml:space="preserve">н</w:t>
      </w:r>
      <w:r>
        <w:rPr>
          <w:rFonts w:ascii="Times New Roman" w:hAnsi="Times New Roman"/>
          <w:color w:val="000000"/>
          <w:sz w:val="26"/>
          <w:szCs w:val="26"/>
        </w:rPr>
        <w:t xml:space="preserve"> и я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 Неуказанные размеры шрифта – 12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2 При необходимости (большой объем) бланк «Задание на выполнение ВКР» может быть выполнен на обеих страницах одного листа.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 Студент должен получить от руководителя ВКР календарный график работы.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4 Разделы «6» и «7» бланка «Задание на выполнение ВКР» оформляются при наличии таковых.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5 Оформление реквизита «подпись» синими чернилами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Приложение Г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Бланк «Отзыв руководителя о ВКР»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tbl>
      <w:tblPr>
        <w:tblStyle w:val="885"/>
        <w:tblW w:w="9345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АВТОНОМНАЯ НЕКОММЕРЧЕСКАЯ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ПРОФЕССИОНАЛЬНАЯ ОБРАЗОВАТЕЛЬНАЯ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ТОП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ОТЗЫВ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(16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pt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полужирный)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руководителя о ВКР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(14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pt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полужирный)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firstLine="22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студента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_________________________________________________группы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фамилия имя отчество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выполненной по теме 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 направлению подготовки (специальности) 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right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код, наименование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ВКР выполнена на ______ _________________, графическая часть ________ листах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количество лист                                                    количество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 Соответствие ВКР требованиям стандарта среднего профессионального образования ____________________________________________________________________________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 Соответствие ВКР заданию 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 Степень проработанности разделов ВКР 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Оригинальность решений ВКР 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 Оценка качеств студента, проявленных в процессе выполнения ВКР 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 Общее заключение о результатах ВКР 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ВКР заслуживает оценки __________________________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отлично, хорошо, удовлетворительно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Руководитель ВКР 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фамилия имя отчество должность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Подпись ___________ Дата «____» ___________ 20__ г.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jc w:val="center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П </w:t>
      </w:r>
      <w:r>
        <w:rPr>
          <w:rFonts w:ascii="Times New Roman" w:hAnsi="Times New Roman"/>
          <w:color w:val="000000"/>
          <w:sz w:val="26"/>
          <w:szCs w:val="26"/>
        </w:rPr>
        <w:t xml:space="preserve">р</w:t>
      </w:r>
      <w:r>
        <w:rPr>
          <w:rFonts w:ascii="Times New Roman" w:hAnsi="Times New Roman"/>
          <w:color w:val="000000"/>
          <w:sz w:val="26"/>
          <w:szCs w:val="26"/>
        </w:rPr>
        <w:t xml:space="preserve"> и м е ч а </w:t>
      </w:r>
      <w:r>
        <w:rPr>
          <w:rFonts w:ascii="Times New Roman" w:hAnsi="Times New Roman"/>
          <w:color w:val="000000"/>
          <w:sz w:val="26"/>
          <w:szCs w:val="26"/>
        </w:rPr>
        <w:t xml:space="preserve">н</w:t>
      </w:r>
      <w:r>
        <w:rPr>
          <w:rFonts w:ascii="Times New Roman" w:hAnsi="Times New Roman"/>
          <w:color w:val="000000"/>
          <w:sz w:val="26"/>
          <w:szCs w:val="26"/>
        </w:rPr>
        <w:t xml:space="preserve"> и я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1 Неуказанные размеры шрифта – 12 </w:t>
      </w:r>
      <w:r>
        <w:rPr>
          <w:rFonts w:ascii="Times New Roman" w:hAnsi="Times New Roman"/>
          <w:color w:val="000000"/>
          <w:sz w:val="26"/>
          <w:szCs w:val="26"/>
        </w:rPr>
        <w:t xml:space="preserve">pt</w:t>
      </w:r>
      <w:r>
        <w:rPr>
          <w:rFonts w:ascii="Times New Roman" w:hAnsi="Times New Roman"/>
          <w:color w:val="000000"/>
          <w:sz w:val="26"/>
          <w:szCs w:val="26"/>
        </w:rPr>
        <w:t xml:space="preserve">.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2 При необходимости (большой объем) бланк «Отзыв руководителя о ВКР» может быть выполнен на обеих страницах одного листа.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b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  <w:t xml:space="preserve">3 Оформление реквизита «подпись» синими чернилами.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0" w:leader="none"/>
          <w:tab w:val="left" w:pos="1276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jc w:val="center"/>
        <w:spacing w:after="0" w:line="240" w:lineRule="auto"/>
        <w:tabs>
          <w:tab w:val="left" w:pos="993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Приложение Д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tabs>
          <w:tab w:val="left" w:pos="993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Бланк «Лист </w:t>
      </w:r>
      <w:r>
        <w:rPr>
          <w:rFonts w:ascii="Times New Roman" w:hAnsi="Times New Roman"/>
          <w:b/>
          <w:sz w:val="26"/>
          <w:szCs w:val="26"/>
        </w:rPr>
        <w:t xml:space="preserve">нормоконтроля</w:t>
      </w:r>
      <w:r>
        <w:rPr>
          <w:rFonts w:ascii="Times New Roman" w:hAnsi="Times New Roman"/>
          <w:b/>
          <w:sz w:val="26"/>
          <w:szCs w:val="26"/>
        </w:rPr>
        <w:t xml:space="preserve"> ВКР»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tabs>
          <w:tab w:val="left" w:pos="993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tbl>
      <w:tblPr>
        <w:tblStyle w:val="886"/>
        <w:tblW w:w="9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153"/>
      </w:tblGrid>
      <w:tr>
        <w:tblPrEx/>
        <w:trPr/>
        <w:tc>
          <w:tcPr>
            <w:tcW w:w="9153" w:type="dxa"/>
            <w:textDirection w:val="lrTb"/>
            <w:noWrap w:val="false"/>
          </w:tcPr>
          <w:p>
            <w:pPr>
              <w:jc w:val="center"/>
              <w:tabs>
                <w:tab w:val="left" w:pos="993" w:leader="none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jc w:val="center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ЛИСТ НОРМОКОНТРОЛЯ ВКР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(16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pt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, полужирный)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center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Обучающегося _____________________________ группы _____ ________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фамилия имя отчество                                                      год выпуска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Тема ВКР  ______________________________________________________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________________________________________________________________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_______________________ приказу № ____ от «____» ___________ 20__ г.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соответствует, не соответствует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Направление подготовки (специальность)____________________________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________________________________________________________________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                                       код наименование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Руководитель ВКР________________________________________________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фамилия имя отчество должность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tbl>
            <w:tblPr>
              <w:tblStyle w:val="887"/>
              <w:tblW w:w="8423" w:type="dxa"/>
              <w:tblInd w:w="447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77"/>
              <w:gridCol w:w="2140"/>
              <w:gridCol w:w="2067"/>
              <w:gridCol w:w="2039"/>
            </w:tblGrid>
            <w:tr>
              <w:tblPrEx/>
              <w:trPr/>
              <w:tc>
                <w:tcPr>
                  <w:tcW w:w="2177" w:type="dxa"/>
                  <w:vAlign w:val="center"/>
                  <w:textDirection w:val="lrTb"/>
                  <w:noWrap w:val="false"/>
                </w:tcPr>
                <w:p>
                  <w:pPr>
                    <w:ind w:right="170"/>
                    <w:jc w:val="center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</w:rPr>
                    <w:t xml:space="preserve">Наименование документа, № листа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2140" w:type="dxa"/>
                  <w:vAlign w:val="center"/>
                  <w:textDirection w:val="lrTb"/>
                  <w:noWrap w:val="false"/>
                </w:tcPr>
                <w:p>
                  <w:pPr>
                    <w:ind w:right="170"/>
                    <w:jc w:val="center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</w:rPr>
                    <w:t xml:space="preserve">Содержание замечания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2067" w:type="dxa"/>
                  <w:vAlign w:val="center"/>
                  <w:textDirection w:val="lrTb"/>
                  <w:noWrap w:val="false"/>
                </w:tcPr>
                <w:p>
                  <w:pPr>
                    <w:ind w:right="170"/>
                    <w:jc w:val="center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</w:rPr>
                    <w:t xml:space="preserve">Шифр ошибки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2039" w:type="dxa"/>
                  <w:vAlign w:val="center"/>
                  <w:textDirection w:val="lrTb"/>
                  <w:noWrap w:val="false"/>
                </w:tcPr>
                <w:p>
                  <w:pPr>
                    <w:ind w:right="170"/>
                    <w:jc w:val="center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</w:rPr>
                    <w:t xml:space="preserve">Предложение </w:t>
                  </w:r>
                  <w:r>
                    <w:rPr>
                      <w:rFonts w:ascii="Times New Roman" w:hAnsi="Times New Roman"/>
                    </w:rPr>
                    <w:t xml:space="preserve">нормоконтролера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</w:tr>
            <w:tr>
              <w:tblPrEx/>
              <w:trPr>
                <w:trHeight w:val="1170"/>
              </w:trPr>
              <w:tc>
                <w:tcPr>
                  <w:tcW w:w="2177" w:type="dxa"/>
                  <w:textDirection w:val="lrTb"/>
                  <w:noWrap w:val="false"/>
                </w:tcPr>
                <w:p>
                  <w:pPr>
                    <w:ind w:right="169"/>
                    <w:jc w:val="both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2140" w:type="dxa"/>
                  <w:textDirection w:val="lrTb"/>
                  <w:noWrap w:val="false"/>
                </w:tcPr>
                <w:p>
                  <w:pPr>
                    <w:ind w:right="169"/>
                    <w:jc w:val="both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2067" w:type="dxa"/>
                  <w:textDirection w:val="lrTb"/>
                  <w:noWrap w:val="false"/>
                </w:tcPr>
                <w:p>
                  <w:pPr>
                    <w:ind w:right="169"/>
                    <w:jc w:val="both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2039" w:type="dxa"/>
                  <w:textDirection w:val="lrTb"/>
                  <w:noWrap w:val="false"/>
                </w:tcPr>
                <w:p>
                  <w:pPr>
                    <w:ind w:right="169"/>
                    <w:jc w:val="both"/>
                    <w:tabs>
                      <w:tab w:val="left" w:pos="993" w:leader="none"/>
                    </w:tabs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</w:tr>
          </w:tbl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Нормоконтролер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_________________________________________________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подпись дата инициалы фамилия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Обучающийся ___________________________________________________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left="447" w:right="169"/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подпись дата инициалы фамилия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tabs>
                <w:tab w:val="left" w:pos="993" w:leader="none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</w:tc>
      </w:tr>
    </w:tbl>
    <w:p>
      <w:pPr>
        <w:ind w:firstLine="709"/>
        <w:spacing w:after="0" w:line="240" w:lineRule="auto"/>
        <w:tabs>
          <w:tab w:val="left" w:pos="300" w:leader="none"/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spacing w:after="0" w:line="240" w:lineRule="auto"/>
        <w:tabs>
          <w:tab w:val="left" w:pos="300" w:leader="none"/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 </w:t>
      </w:r>
      <w:r>
        <w:rPr>
          <w:rFonts w:ascii="Times New Roman" w:hAnsi="Times New Roman"/>
          <w:sz w:val="26"/>
          <w:szCs w:val="26"/>
        </w:rPr>
        <w:t xml:space="preserve">р</w:t>
      </w:r>
      <w:r>
        <w:rPr>
          <w:rFonts w:ascii="Times New Roman" w:hAnsi="Times New Roman"/>
          <w:sz w:val="26"/>
          <w:szCs w:val="26"/>
        </w:rPr>
        <w:t xml:space="preserve"> и м е ч а </w:t>
      </w:r>
      <w:r>
        <w:rPr>
          <w:rFonts w:ascii="Times New Roman" w:hAnsi="Times New Roman"/>
          <w:sz w:val="26"/>
          <w:szCs w:val="26"/>
        </w:rPr>
        <w:t xml:space="preserve">н</w:t>
      </w:r>
      <w:r>
        <w:rPr>
          <w:rFonts w:ascii="Times New Roman" w:hAnsi="Times New Roman"/>
          <w:sz w:val="26"/>
          <w:szCs w:val="26"/>
        </w:rPr>
        <w:t xml:space="preserve"> и я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spacing w:after="0" w:line="240" w:lineRule="auto"/>
        <w:tabs>
          <w:tab w:val="left" w:pos="300" w:leader="none"/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 Неуказанные размеры шрифта – 12 </w:t>
      </w:r>
      <w:r>
        <w:rPr>
          <w:rFonts w:ascii="Times New Roman" w:hAnsi="Times New Roman"/>
          <w:sz w:val="26"/>
          <w:szCs w:val="26"/>
        </w:rPr>
        <w:t xml:space="preserve">pt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spacing w:after="0" w:line="240" w:lineRule="auto"/>
        <w:tabs>
          <w:tab w:val="left" w:pos="300" w:leader="none"/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 При необходимости (большой объем) бланк «Лист </w:t>
      </w:r>
      <w:r>
        <w:rPr>
          <w:rFonts w:ascii="Times New Roman" w:hAnsi="Times New Roman"/>
          <w:sz w:val="26"/>
          <w:szCs w:val="26"/>
        </w:rPr>
        <w:t xml:space="preserve">нормоконтроля</w:t>
      </w:r>
      <w:r>
        <w:rPr>
          <w:rFonts w:ascii="Times New Roman" w:hAnsi="Times New Roman"/>
          <w:sz w:val="26"/>
          <w:szCs w:val="26"/>
        </w:rPr>
        <w:t xml:space="preserve"> ВКР» может быть выполнен на обеих страницах одного листа.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spacing w:after="0" w:line="240" w:lineRule="auto"/>
        <w:tabs>
          <w:tab w:val="left" w:pos="300" w:leader="none"/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 Оформление реквизитов «подпись» и «дата» синими чернилами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jc w:val="center"/>
        <w:spacing w:after="0" w:line="240" w:lineRule="auto"/>
        <w:tabs>
          <w:tab w:val="left" w:pos="993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993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left="709"/>
        <w:jc w:val="left"/>
        <w:spacing w:after="0" w:line="240" w:lineRule="auto"/>
        <w:tabs>
          <w:tab w:val="left" w:pos="993" w:leader="none"/>
          <w:tab w:val="left" w:pos="5912" w:leader="none"/>
        </w:tabs>
        <w:rPr>
          <w:rFonts w:ascii="Times New Roman" w:hAnsi="Times New Roman"/>
          <w:color w:val="000000"/>
          <w:sz w:val="26"/>
          <w:szCs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Приложение Е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Бланк «Рецензия на ВКР»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tbl>
      <w:tblPr>
        <w:tblStyle w:val="888"/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АВТОНОМНАЯ НЕКОММЕРЧЕСКАЯ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ПРОФЕССИОНАЛЬНАЯ ОБРАЗОВАТЕЛЬНАЯ ОРГАНИЗАЦИЯ 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ТОП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РЕЦЕНЗИЯ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(16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pt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полужирный)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ind w:left="720"/>
              <w:jc w:val="center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на выполненную ВКР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(14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pt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полужирный)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ind w:firstLine="22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обучающегося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_____________________________________________группы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фамилия имя отчество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выполненной по теме 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___________________________________________________________________________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 направлению подготовки (специальности) 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right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код, наименование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Соответствие темы ВКР видам и задачам профессиональной деятельности 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Актуальность, полнота обзора и раскрытия темы ВКР 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 Оценка основных результатов ВКР 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________________________________________________________________________________________________________________________________________________________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 Замечания (при наличии) по ВКР 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 Грамотность и стилевое оформление текста, содержательность графического материала (при наличии) 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 Пожелания и предложения 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ВКР заслуживает оценки __________________________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отлично, хорошо, удовлетворительно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Рецензент __________________________________________________________________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фамилия имя отчество должность место работы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Подпись ___________ Дата «____» ___________ 20__ г. __________________________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ind w:firstLine="22"/>
              <w:jc w:val="both"/>
              <w:tabs>
                <w:tab w:val="left" w:pos="0" w:leader="none"/>
                <w:tab w:val="left" w:pos="1276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место печати или штампа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 </w:t>
      </w:r>
      <w:r>
        <w:rPr>
          <w:rFonts w:ascii="Times New Roman" w:hAnsi="Times New Roman"/>
          <w:sz w:val="26"/>
          <w:szCs w:val="26"/>
        </w:rPr>
        <w:t xml:space="preserve">р</w:t>
      </w:r>
      <w:r>
        <w:rPr>
          <w:rFonts w:ascii="Times New Roman" w:hAnsi="Times New Roman"/>
          <w:sz w:val="26"/>
          <w:szCs w:val="26"/>
        </w:rPr>
        <w:t xml:space="preserve"> и м е ч а </w:t>
      </w:r>
      <w:r>
        <w:rPr>
          <w:rFonts w:ascii="Times New Roman" w:hAnsi="Times New Roman"/>
          <w:sz w:val="26"/>
          <w:szCs w:val="26"/>
        </w:rPr>
        <w:t xml:space="preserve">н</w:t>
      </w:r>
      <w:r>
        <w:rPr>
          <w:rFonts w:ascii="Times New Roman" w:hAnsi="Times New Roman"/>
          <w:sz w:val="26"/>
          <w:szCs w:val="26"/>
        </w:rPr>
        <w:t xml:space="preserve"> и я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 Неуказанные размеры шрифта 12 </w:t>
      </w:r>
      <w:r>
        <w:rPr>
          <w:rFonts w:ascii="Times New Roman" w:hAnsi="Times New Roman"/>
          <w:sz w:val="26"/>
          <w:szCs w:val="26"/>
        </w:rPr>
        <w:t xml:space="preserve">pt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 При необходимости (большой объем) бланк «Рецензия на ВКР» может быть выполнен на обеих страницах одного листа.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 Оформление реквизита «подпись» синими чернилами.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br w:type="page" w:clear="all"/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Приложение Ж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Оформление аннотации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tbl>
      <w:tblPr>
        <w:tblStyle w:val="889"/>
        <w:tblW w:w="90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015"/>
      </w:tblGrid>
      <w:tr>
        <w:tblPrEx/>
        <w:trPr>
          <w:trHeight w:val="6069"/>
        </w:trPr>
        <w:tc>
          <w:tcPr>
            <w:tcW w:w="9015" w:type="dxa"/>
            <w:textDirection w:val="lrTb"/>
            <w:noWrap w:val="false"/>
          </w:tcPr>
          <w:p>
            <w:pPr>
              <w:ind w:firstLine="70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Аннотация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(16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pt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, полужирный)</w:t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ind w:firstLine="70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Работа посвящена (теме, вопросу, проблеме)...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В работе исследуется, рассматривается, анализируется...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В работе дается характеристика...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Используя (что?), автор излагает...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Большое место в работе уделено...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Главное внимание обращается на...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В работе особо подчеркнуто, что...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Подробно описывается...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В работе приводятся результаты...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В работе излагается теория (история, методика, проблема)...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Работа представляет интерес с точки зрения…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Работа содержит ___ листов текста, __ рисунков, __ таблиц, __ приложения. 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Графическая часть выполнена на ___ листах формата А__.</w:t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  <w:tbl>
            <w:tblPr>
              <w:tblStyle w:val="890"/>
              <w:tblW w:w="8522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52"/>
              <w:gridCol w:w="5670"/>
            </w:tblGrid>
            <w:tr>
              <w:tblPrEx/>
              <w:trPr/>
              <w:tc>
                <w:tcPr>
                  <w:tcW w:w="2852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Заведующий кафедрой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  <w:tc>
                <w:tcPr>
                  <w:tcW w:w="5670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Дата  ________________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</w:tr>
            <w:tr>
              <w:tblPrEx/>
              <w:trPr/>
              <w:tc>
                <w:tcPr>
                  <w:tcW w:w="2852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Нормоконтролер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  <w:tc>
                <w:tcPr>
                  <w:tcW w:w="5670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Дата  ________________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</w:tr>
            <w:tr>
              <w:tblPrEx/>
              <w:trPr/>
              <w:tc>
                <w:tcPr>
                  <w:tcW w:w="2852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Руководитель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  <w:tc>
                <w:tcPr>
                  <w:tcW w:w="5670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Дата  ________________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</w:tr>
            <w:tr>
              <w:tblPrEx/>
              <w:trPr/>
              <w:tc>
                <w:tcPr>
                  <w:tcW w:w="2852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Обучающийся 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  <w:tc>
                <w:tcPr>
                  <w:tcW w:w="5670" w:type="dxa"/>
                  <w:textDirection w:val="lrTb"/>
                  <w:noWrap w:val="false"/>
                </w:tcPr>
                <w:p>
                  <w:pPr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Дата  ________________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</w:r>
                </w:p>
              </w:tc>
            </w:tr>
          </w:tbl>
          <w:p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  <w:r>
              <w:rPr>
                <w:rFonts w:ascii="Times New Roman" w:hAnsi="Times New Roman"/>
                <w:sz w:val="26"/>
                <w:szCs w:val="26"/>
              </w:rPr>
            </w:r>
          </w:p>
        </w:tc>
      </w:tr>
    </w:tbl>
    <w:p>
      <w:pPr>
        <w:ind w:firstLine="709"/>
        <w:jc w:val="both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 </w:t>
      </w:r>
      <w:r>
        <w:rPr>
          <w:rFonts w:ascii="Times New Roman" w:hAnsi="Times New Roman"/>
          <w:sz w:val="26"/>
          <w:szCs w:val="26"/>
        </w:rPr>
        <w:t xml:space="preserve">р</w:t>
      </w:r>
      <w:r>
        <w:rPr>
          <w:rFonts w:ascii="Times New Roman" w:hAnsi="Times New Roman"/>
          <w:sz w:val="26"/>
          <w:szCs w:val="26"/>
        </w:rPr>
        <w:t xml:space="preserve"> и м е ч а </w:t>
      </w:r>
      <w:r>
        <w:rPr>
          <w:rFonts w:ascii="Times New Roman" w:hAnsi="Times New Roman"/>
          <w:sz w:val="26"/>
          <w:szCs w:val="26"/>
        </w:rPr>
        <w:t xml:space="preserve">н</w:t>
      </w:r>
      <w:r>
        <w:rPr>
          <w:rFonts w:ascii="Times New Roman" w:hAnsi="Times New Roman"/>
          <w:sz w:val="26"/>
          <w:szCs w:val="26"/>
        </w:rPr>
        <w:t xml:space="preserve"> и я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 Неуказанные размеры шрифта 12 </w:t>
      </w:r>
      <w:r>
        <w:rPr>
          <w:rFonts w:ascii="Times New Roman" w:hAnsi="Times New Roman"/>
          <w:sz w:val="26"/>
          <w:szCs w:val="26"/>
        </w:rPr>
        <w:t xml:space="preserve">pt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 При необходимости (большой объем) бланк «Аннотация» может быть выполнен на обеих страницах одного листа.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br w:type="page" w:clear="all"/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Приложение И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Оформление содержания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tbl>
      <w:tblPr>
        <w:tblStyle w:val="891"/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Содержание</w:t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  <w:r>
              <w:rPr>
                <w:rFonts w:ascii="Times New Roman" w:hAnsi="Times New Roman"/>
                <w:b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Введение …………………………………………………………………………….  3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Техническое задание ……………………………………………………………….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1.1. Введение технического задания………………………………………………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1.2. Назначение разработки………………………………………………………..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1.3. Требования к программе или программному изделию……………………..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1.3.1. Требования к функциональным характеристикам………………………..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1.3.2. Требования к надежности ………………………………………………….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1.3.3. Требования к составу и параметрам технических средств……………….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1.3.4. Требования к информационной и программной совместимости………...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1014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1.4. Требования к программной документации………………………………….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 Проектирование и разработка программного обеспечения…………………….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Методология проектирования программного обеспечения и анализ бизнес-процессов………………………………………………………………………………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2.2. Инструменты и технологии разработки программного обеспечения……..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2.3. Инфологическая модель данных……………………………………………..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 Тестирование программного обеспечения……………………………………….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3.1. Основные термины и их соотношение………………………………………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3.2. Статистические методы устранения ошибок……………………………….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3.3. Функциональное тестирование………………………………………………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3.4. Структурное тестирование……………………………………………………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 Руководство системного программиста…………………………………………..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4.1. Общие сведения о программе………………………………………………...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4.2. Структура программы…………………………………………………………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4.3. Настройка программы…………………………………………………………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4.4. Проверка программы…………………………………………………………..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4.5. Сообщения системному программисту………………………………………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5. Руководство оператора……………………………………………………………..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5.1. Выполнение программы……………………………………………………….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ind w:firstLine="306"/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5.2. Сообщение оператору…………………………………………………………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6. Охрана труда и безопасность жизнедеятельности………………………………..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Заключение…………………………………………………………………………….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Список использованных источников…………………………………………………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Приложение А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Входные и выходные документы……………………………………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Приложение Б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Диаграммы моделирования и анализа бизнес-процессов………….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Приложение В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Текст программы………………………………………………………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center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</w:r>
          </w:p>
          <w:p>
            <w:pPr>
              <w:jc w:val="both"/>
              <w:shd w:val="clear" w:color="auto" w:fill="ffffff"/>
              <w:tabs>
                <w:tab w:val="left" w:pos="993" w:leader="none"/>
              </w:tabs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>
        <w:br w:type="page" w:clear="all"/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Приложение К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Оформление диаграмм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90805</wp:posOffset>
                </wp:positionV>
                <wp:extent cx="5257139" cy="3604895"/>
                <wp:effectExtent l="0" t="0" r="0" b="0"/>
                <wp:wrapNone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2"/>
                        <a:srcRect l="28541" t="30216" r="26563" b="15051"/>
                        <a:stretch/>
                      </pic:blipFill>
                      <pic:spPr bwMode="auto">
                        <a:xfrm>
                          <a:off x="0" y="0"/>
                          <a:ext cx="5257139" cy="36048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70528;o:allowoverlap:true;o:allowincell:true;mso-position-horizontal-relative:text;margin-left:30.45pt;mso-position-horizontal:absolute;mso-position-vertical-relative:text;margin-top:7.15pt;mso-position-vertical:absolute;width:413.95pt;height:283.85pt;mso-wrap-distance-left:9.00pt;mso-wrap-distance-top:0.00pt;mso-wrap-distance-right:9.00pt;mso-wrap-distance-bottom:0.00pt;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center"/>
        <w:spacing w:after="0" w:line="240" w:lineRule="auto"/>
      </w:pPr>
      <w:r/>
      <w:r/>
    </w:p>
    <w:p>
      <w:pPr>
        <w:ind w:firstLine="709"/>
        <w:jc w:val="center"/>
        <w:spacing w:after="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tabs>
          <w:tab w:val="left" w:pos="103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tabs>
          <w:tab w:val="left" w:pos="103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Рисунок К.1 - Диаграмма зависимостей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6985</wp:posOffset>
                </wp:positionV>
                <wp:extent cx="6258062" cy="2676525"/>
                <wp:effectExtent l="0" t="0" r="0" b="0"/>
                <wp:wrapNone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3"/>
                        <a:srcRect l="25494" t="17388" r="22394" b="42987"/>
                        <a:stretch/>
                      </pic:blipFill>
                      <pic:spPr bwMode="auto">
                        <a:xfrm>
                          <a:off x="0" y="0"/>
                          <a:ext cx="6258062" cy="2676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71552;o:allowoverlap:true;o:allowincell:true;mso-position-horizontal-relative:text;margin-left:0.00pt;mso-position-horizontal:absolute;mso-position-vertical-relative:text;margin-top:0.55pt;mso-position-vertical:absolute;width:492.76pt;height:210.75pt;mso-wrap-distance-left:9.00pt;mso-wrap-distance-top:0.00pt;mso-wrap-distance-right:9.00pt;mso-wrap-distance-bottom:0.00pt;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Рисунок К.2 - Информационное изображение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br w:type="page" w:clear="all"/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358775</wp:posOffset>
                </wp:positionH>
                <wp:positionV relativeFrom="paragraph">
                  <wp:posOffset>-1904</wp:posOffset>
                </wp:positionV>
                <wp:extent cx="5505393" cy="4060456"/>
                <wp:effectExtent l="0" t="0" r="0" b="0"/>
                <wp:wrapNone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4"/>
                        <a:srcRect l="27419" t="21095" r="24317" b="15622"/>
                        <a:stretch/>
                      </pic:blipFill>
                      <pic:spPr bwMode="auto">
                        <a:xfrm>
                          <a:off x="0" y="0"/>
                          <a:ext cx="5505393" cy="406045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z-index:251672576;o:allowoverlap:true;o:allowincell:true;mso-position-horizontal-relative:text;margin-left:28.25pt;mso-position-horizontal:absolute;mso-position-vertical-relative:text;margin-top:-0.15pt;mso-position-vertical:absolute;width:433.50pt;height:319.72pt;mso-wrap-distance-left:9.00pt;mso-wrap-distance-top:0.00pt;mso-wrap-distance-right:9.00pt;mso-wrap-distance-bottom:0.00pt;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tabs>
          <w:tab w:val="left" w:pos="94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Рисунок К.3 - Изменение диаметра заготовки во времени от вещества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tabs>
          <w:tab w:val="left" w:pos="945" w:leader="none"/>
        </w:tabs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80010</wp:posOffset>
                </wp:positionV>
                <wp:extent cx="4876800" cy="3959962"/>
                <wp:effectExtent l="0" t="0" r="0" b="0"/>
                <wp:wrapNone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5"/>
                        <a:srcRect l="27579" t="29076" r="32334" b="13055"/>
                        <a:stretch/>
                      </pic:blipFill>
                      <pic:spPr bwMode="auto">
                        <a:xfrm>
                          <a:off x="0" y="0"/>
                          <a:ext cx="4876800" cy="395996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51673600;o:allowoverlap:true;o:allowincell:true;mso-position-horizontal-relative:text;margin-left:49.95pt;mso-position-horizontal:absolute;mso-position-vertical-relative:text;margin-top:6.30pt;mso-position-vertical:absolute;width:384.00pt;height:311.81pt;mso-wrap-distance-left:9.00pt;mso-wrap-distance-top:0.00pt;mso-wrap-distance-right:9.00pt;mso-wrap-distance-bottom:0.00pt;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tabs>
          <w:tab w:val="left" w:pos="94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tabs>
          <w:tab w:val="left" w:pos="945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Рисунок К.4 – Номограмма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br w:type="page" w:clear="all"/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jc w:val="center"/>
        <w:spacing w:after="0" w:line="240" w:lineRule="auto"/>
        <w:tabs>
          <w:tab w:val="left" w:pos="2250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Приложение Л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tabs>
          <w:tab w:val="left" w:pos="2250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Примеры библиографической записи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jc w:val="center"/>
        <w:spacing w:after="0" w:line="240" w:lineRule="auto"/>
        <w:tabs>
          <w:tab w:val="left" w:pos="2250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Л.1 Для произведений, созданных одним, двумя или тремя авторами, применяется библиографическая запись под заголовком, содержащим имя лица: 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Семенов, В. В. Философия : итог тысячелетий. Философская психология / В. В. Семенов ; Рос. акад. наук, </w:t>
      </w:r>
      <w:r>
        <w:rPr>
          <w:rFonts w:ascii="Times New Roman" w:hAnsi="Times New Roman"/>
          <w:sz w:val="26"/>
          <w:szCs w:val="26"/>
        </w:rPr>
        <w:t xml:space="preserve">Пущин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науч</w:t>
      </w:r>
      <w:r>
        <w:rPr>
          <w:rFonts w:ascii="Times New Roman" w:hAnsi="Times New Roman"/>
          <w:sz w:val="26"/>
          <w:szCs w:val="26"/>
        </w:rPr>
        <w:t xml:space="preserve">. центр,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биофизики клетки, Акад. проблем сохранения жизни. – Пущино : ПНЦ РАН, 2000. – 64 с. – ISBN 5-201-14433-0.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Земсков, А. И. Электронные библиотеки : учебник / А. И. Земсков, Я. Л. </w:t>
      </w:r>
      <w:r>
        <w:rPr>
          <w:rFonts w:ascii="Times New Roman" w:hAnsi="Times New Roman"/>
          <w:sz w:val="26"/>
          <w:szCs w:val="26"/>
        </w:rPr>
        <w:t xml:space="preserve">Шрайберг</w:t>
      </w:r>
      <w:r>
        <w:rPr>
          <w:rFonts w:ascii="Times New Roman" w:hAnsi="Times New Roman"/>
          <w:sz w:val="26"/>
          <w:szCs w:val="26"/>
        </w:rPr>
        <w:t xml:space="preserve">. – Москва : </w:t>
      </w:r>
      <w:r>
        <w:rPr>
          <w:rFonts w:ascii="Times New Roman" w:hAnsi="Times New Roman"/>
          <w:sz w:val="26"/>
          <w:szCs w:val="26"/>
        </w:rPr>
        <w:t xml:space="preserve">Либерея</w:t>
      </w:r>
      <w:r>
        <w:rPr>
          <w:rFonts w:ascii="Times New Roman" w:hAnsi="Times New Roman"/>
          <w:sz w:val="26"/>
          <w:szCs w:val="26"/>
        </w:rPr>
        <w:t xml:space="preserve">, 2003. – 352 с. – (Альманах «Приложение к журналу "Библиотека"»). – ISBN 5-85129-184-2.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Бойделл</w:t>
      </w:r>
      <w:r>
        <w:rPr>
          <w:rFonts w:ascii="Times New Roman" w:hAnsi="Times New Roman"/>
          <w:sz w:val="26"/>
          <w:szCs w:val="26"/>
        </w:rPr>
        <w:t xml:space="preserve">, Т. Как лучше управлять организацией : учеб. пособие : пер. с англ. / Т. </w:t>
      </w:r>
      <w:r>
        <w:rPr>
          <w:rFonts w:ascii="Times New Roman" w:hAnsi="Times New Roman"/>
          <w:sz w:val="26"/>
          <w:szCs w:val="26"/>
        </w:rPr>
        <w:t xml:space="preserve">Бойделл</w:t>
      </w:r>
      <w:r>
        <w:rPr>
          <w:rFonts w:ascii="Times New Roman" w:hAnsi="Times New Roman"/>
          <w:sz w:val="26"/>
          <w:szCs w:val="26"/>
        </w:rPr>
        <w:t xml:space="preserve">. – Москва : ИНФРА-М ПРЕМЬЕР, 2005. – 202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Силк</w:t>
      </w:r>
      <w:r>
        <w:rPr>
          <w:rFonts w:ascii="Times New Roman" w:hAnsi="Times New Roman"/>
          <w:sz w:val="26"/>
          <w:szCs w:val="26"/>
        </w:rPr>
        <w:t xml:space="preserve">, Дж. Большой взрыв. Рождение и эволюция Вселенной / Дж. </w:t>
      </w:r>
      <w:r>
        <w:rPr>
          <w:rFonts w:ascii="Times New Roman" w:hAnsi="Times New Roman"/>
          <w:sz w:val="26"/>
          <w:szCs w:val="26"/>
        </w:rPr>
        <w:t xml:space="preserve">Силк</w:t>
      </w:r>
      <w:r>
        <w:rPr>
          <w:rFonts w:ascii="Times New Roman" w:hAnsi="Times New Roman"/>
          <w:sz w:val="26"/>
          <w:szCs w:val="26"/>
        </w:rPr>
        <w:t xml:space="preserve">; пер. с англ. А. Р. </w:t>
      </w:r>
      <w:r>
        <w:rPr>
          <w:rFonts w:ascii="Times New Roman" w:hAnsi="Times New Roman"/>
          <w:sz w:val="26"/>
          <w:szCs w:val="26"/>
        </w:rPr>
        <w:t xml:space="preserve">Полнарева</w:t>
      </w:r>
      <w:r>
        <w:rPr>
          <w:rFonts w:ascii="Times New Roman" w:hAnsi="Times New Roman"/>
          <w:sz w:val="26"/>
          <w:szCs w:val="26"/>
        </w:rPr>
        <w:t xml:space="preserve">. – Москва : Мир, 1982. – 391 с.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Если количество авторов четыре и более, применяется библиографическая запись под заглавием: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Теория зарубежной судебной медицины : учеб. пособие / В. Н. </w:t>
      </w:r>
      <w:r>
        <w:rPr>
          <w:rFonts w:ascii="Times New Roman" w:hAnsi="Times New Roman"/>
          <w:sz w:val="26"/>
          <w:szCs w:val="26"/>
        </w:rPr>
        <w:t xml:space="preserve">Алисиевич</w:t>
      </w:r>
      <w:r>
        <w:rPr>
          <w:rFonts w:ascii="Times New Roman" w:hAnsi="Times New Roman"/>
          <w:sz w:val="26"/>
          <w:szCs w:val="26"/>
        </w:rPr>
        <w:t xml:space="preserve"> [и др.]. – Москва : Изд-во </w:t>
      </w:r>
      <w:r>
        <w:rPr>
          <w:rFonts w:ascii="Times New Roman" w:hAnsi="Times New Roman"/>
          <w:sz w:val="26"/>
          <w:szCs w:val="26"/>
        </w:rPr>
        <w:t xml:space="preserve">Моск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ун-та, 1990. – 40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Теория зарубежной судебной медицины : учеб. пособие / В. Н. </w:t>
      </w:r>
      <w:r>
        <w:rPr>
          <w:rFonts w:ascii="Times New Roman" w:hAnsi="Times New Roman"/>
          <w:sz w:val="26"/>
          <w:szCs w:val="26"/>
        </w:rPr>
        <w:t xml:space="preserve">Алисиевич</w:t>
      </w:r>
      <w:r>
        <w:rPr>
          <w:rFonts w:ascii="Times New Roman" w:hAnsi="Times New Roman"/>
          <w:sz w:val="26"/>
          <w:szCs w:val="26"/>
        </w:rPr>
        <w:t xml:space="preserve">, С. Н. Смирнова, В. К. Авдеева, П. Н. Волкова; </w:t>
      </w:r>
      <w:r>
        <w:rPr>
          <w:rFonts w:ascii="Times New Roman" w:hAnsi="Times New Roman"/>
          <w:sz w:val="26"/>
          <w:szCs w:val="26"/>
        </w:rPr>
        <w:t xml:space="preserve">Моск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ун-т. – Москва : МГУ, 1990. – 40 с.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 </w:t>
      </w:r>
      <w:r>
        <w:rPr>
          <w:rFonts w:ascii="Times New Roman" w:hAnsi="Times New Roman"/>
          <w:sz w:val="24"/>
          <w:szCs w:val="24"/>
        </w:rPr>
        <w:t xml:space="preserve">р</w:t>
      </w:r>
      <w:r>
        <w:rPr>
          <w:rFonts w:ascii="Times New Roman" w:hAnsi="Times New Roman"/>
          <w:sz w:val="24"/>
          <w:szCs w:val="24"/>
        </w:rPr>
        <w:t xml:space="preserve"> и м е ч а </w:t>
      </w:r>
      <w:r>
        <w:rPr>
          <w:rFonts w:ascii="Times New Roman" w:hAnsi="Times New Roman"/>
          <w:sz w:val="24"/>
          <w:szCs w:val="24"/>
        </w:rPr>
        <w:t xml:space="preserve">н</w:t>
      </w:r>
      <w:r>
        <w:rPr>
          <w:rFonts w:ascii="Times New Roman" w:hAnsi="Times New Roman"/>
          <w:sz w:val="24"/>
          <w:szCs w:val="24"/>
        </w:rPr>
        <w:t xml:space="preserve"> и е – На одном примере в области выходных данных приводится «</w:t>
      </w:r>
      <w:r>
        <w:rPr>
          <w:rFonts w:ascii="Times New Roman" w:hAnsi="Times New Roman"/>
          <w:sz w:val="24"/>
          <w:szCs w:val="24"/>
        </w:rPr>
        <w:t xml:space="preserve">Издво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Моск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гос</w:t>
      </w:r>
      <w:r>
        <w:rPr>
          <w:rFonts w:ascii="Times New Roman" w:hAnsi="Times New Roman"/>
          <w:sz w:val="24"/>
          <w:szCs w:val="24"/>
        </w:rPr>
        <w:t xml:space="preserve">. ун-та» в связи с тем, что в области заглавия и сведен</w:t>
      </w:r>
      <w:r>
        <w:rPr>
          <w:rFonts w:ascii="Times New Roman" w:hAnsi="Times New Roman"/>
          <w:sz w:val="24"/>
          <w:szCs w:val="24"/>
        </w:rPr>
        <w:t xml:space="preserve">ий об ответственности не приводится информация об организации. На другом примере в области выходных данных приводится краткая форма «МГУ» в связи с тем, что наименование (имя) издателя вошло в область заглавия и сведений об ответственности в полной форме «</w:t>
      </w:r>
      <w:r>
        <w:rPr>
          <w:rFonts w:ascii="Times New Roman" w:hAnsi="Times New Roman"/>
          <w:sz w:val="24"/>
          <w:szCs w:val="24"/>
        </w:rPr>
        <w:t xml:space="preserve">Моск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гос</w:t>
      </w:r>
      <w:r>
        <w:rPr>
          <w:rFonts w:ascii="Times New Roman" w:hAnsi="Times New Roman"/>
          <w:sz w:val="24"/>
          <w:szCs w:val="24"/>
        </w:rPr>
        <w:t xml:space="preserve">. ун-т». Такая форма библиографической записи рекомендуется для описания изданий научных и образовательных учреждений.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Л.2 Для многотомных изданий документ в целом описывается следующим образом: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Гиппиус, З. Н. Сочинения : в 2 т. / Зинаида Гиппиус; [вступ. ст., </w:t>
      </w:r>
      <w:r>
        <w:rPr>
          <w:rFonts w:ascii="Times New Roman" w:hAnsi="Times New Roman"/>
          <w:sz w:val="26"/>
          <w:szCs w:val="26"/>
        </w:rPr>
        <w:t xml:space="preserve">подгот</w:t>
      </w:r>
      <w:r>
        <w:rPr>
          <w:rFonts w:ascii="Times New Roman" w:hAnsi="Times New Roman"/>
          <w:sz w:val="26"/>
          <w:szCs w:val="26"/>
        </w:rPr>
        <w:t xml:space="preserve">. текста и </w:t>
      </w:r>
      <w:r>
        <w:rPr>
          <w:rFonts w:ascii="Times New Roman" w:hAnsi="Times New Roman"/>
          <w:sz w:val="26"/>
          <w:szCs w:val="26"/>
        </w:rPr>
        <w:t xml:space="preserve">коммент</w:t>
      </w:r>
      <w:r>
        <w:rPr>
          <w:rFonts w:ascii="Times New Roman" w:hAnsi="Times New Roman"/>
          <w:sz w:val="26"/>
          <w:szCs w:val="26"/>
        </w:rPr>
        <w:t xml:space="preserve">. Т. Г. Юрченко; Рос. акад. наук,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науч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информ</w:t>
      </w:r>
      <w:r>
        <w:rPr>
          <w:rFonts w:ascii="Times New Roman" w:hAnsi="Times New Roman"/>
          <w:sz w:val="26"/>
          <w:szCs w:val="26"/>
        </w:rPr>
        <w:t xml:space="preserve">. по обществ. наукам]. – Москва : </w:t>
      </w:r>
      <w:r>
        <w:rPr>
          <w:rFonts w:ascii="Times New Roman" w:hAnsi="Times New Roman"/>
          <w:sz w:val="26"/>
          <w:szCs w:val="26"/>
        </w:rPr>
        <w:t xml:space="preserve">Лаком-книга</w:t>
      </w:r>
      <w:r>
        <w:rPr>
          <w:rFonts w:ascii="Times New Roman" w:hAnsi="Times New Roman"/>
          <w:sz w:val="26"/>
          <w:szCs w:val="26"/>
        </w:rPr>
        <w:t xml:space="preserve"> : </w:t>
      </w:r>
      <w:r>
        <w:rPr>
          <w:rFonts w:ascii="Times New Roman" w:hAnsi="Times New Roman"/>
          <w:sz w:val="26"/>
          <w:szCs w:val="26"/>
        </w:rPr>
        <w:t xml:space="preserve">Габестро</w:t>
      </w:r>
      <w:r>
        <w:rPr>
          <w:rFonts w:ascii="Times New Roman" w:hAnsi="Times New Roman"/>
          <w:sz w:val="26"/>
          <w:szCs w:val="26"/>
        </w:rPr>
        <w:t xml:space="preserve">, 2001. – 2 т. – (Золотая проза серебряного века). – ISBN 5-85647-056-7.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Корецкий, Д. А. Подставная фигура : в 2 т. / Д. А. Корецкий. – Москва : </w:t>
      </w:r>
      <w:r>
        <w:rPr>
          <w:rFonts w:ascii="Times New Roman" w:hAnsi="Times New Roman"/>
          <w:sz w:val="26"/>
          <w:szCs w:val="26"/>
        </w:rPr>
        <w:t xml:space="preserve">ЭКСМО-пресс</w:t>
      </w:r>
      <w:r>
        <w:rPr>
          <w:rFonts w:ascii="Times New Roman" w:hAnsi="Times New Roman"/>
          <w:sz w:val="26"/>
          <w:szCs w:val="26"/>
        </w:rPr>
        <w:t xml:space="preserve">, 2000. – Т. 1. – 380 с.; Т. 2. – 348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  <w:t xml:space="preserve">П </w:t>
      </w:r>
      <w:r>
        <w:rPr>
          <w:rFonts w:ascii="Times New Roman" w:hAnsi="Times New Roman"/>
          <w:sz w:val="24"/>
          <w:szCs w:val="24"/>
        </w:rPr>
        <w:t xml:space="preserve">р</w:t>
      </w:r>
      <w:r>
        <w:rPr>
          <w:rFonts w:ascii="Times New Roman" w:hAnsi="Times New Roman"/>
          <w:sz w:val="24"/>
          <w:szCs w:val="24"/>
        </w:rPr>
        <w:t xml:space="preserve"> и м е ч а </w:t>
      </w:r>
      <w:r>
        <w:rPr>
          <w:rFonts w:ascii="Times New Roman" w:hAnsi="Times New Roman"/>
          <w:sz w:val="24"/>
          <w:szCs w:val="24"/>
        </w:rPr>
        <w:t xml:space="preserve">н</w:t>
      </w:r>
      <w:r>
        <w:rPr>
          <w:rFonts w:ascii="Times New Roman" w:hAnsi="Times New Roman"/>
          <w:sz w:val="24"/>
          <w:szCs w:val="24"/>
        </w:rPr>
        <w:t xml:space="preserve"> и е - «[вступ. ст., </w:t>
      </w:r>
      <w:r>
        <w:rPr>
          <w:rFonts w:ascii="Times New Roman" w:hAnsi="Times New Roman"/>
          <w:sz w:val="24"/>
          <w:szCs w:val="24"/>
        </w:rPr>
        <w:t xml:space="preserve">подгот</w:t>
      </w:r>
      <w:r>
        <w:rPr>
          <w:rFonts w:ascii="Times New Roman" w:hAnsi="Times New Roman"/>
          <w:sz w:val="24"/>
          <w:szCs w:val="24"/>
        </w:rPr>
        <w:t xml:space="preserve">. текста и </w:t>
      </w:r>
      <w:r>
        <w:rPr>
          <w:rFonts w:ascii="Times New Roman" w:hAnsi="Times New Roman"/>
          <w:sz w:val="24"/>
          <w:szCs w:val="24"/>
        </w:rPr>
        <w:t xml:space="preserve">коммент</w:t>
      </w:r>
      <w:r>
        <w:rPr>
          <w:rFonts w:ascii="Times New Roman" w:hAnsi="Times New Roman"/>
          <w:sz w:val="24"/>
          <w:szCs w:val="24"/>
        </w:rPr>
        <w:t xml:space="preserve">. Т. Г. Юрченко; Рос. акад. наук, </w:t>
      </w:r>
      <w:r>
        <w:rPr>
          <w:rFonts w:ascii="Times New Roman" w:hAnsi="Times New Roman"/>
          <w:sz w:val="24"/>
          <w:szCs w:val="24"/>
        </w:rPr>
        <w:t xml:space="preserve">Ин-т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науч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информ</w:t>
      </w:r>
      <w:r>
        <w:rPr>
          <w:rFonts w:ascii="Times New Roman" w:hAnsi="Times New Roman"/>
          <w:sz w:val="24"/>
          <w:szCs w:val="24"/>
        </w:rPr>
        <w:t xml:space="preserve">. по обществ. наукам]» на данном примере прив</w:t>
      </w:r>
      <w:r>
        <w:rPr>
          <w:rFonts w:ascii="Times New Roman" w:hAnsi="Times New Roman"/>
          <w:sz w:val="24"/>
          <w:szCs w:val="24"/>
        </w:rPr>
        <w:t xml:space="preserve">одятся сведения в квадратных скобках в связи с их формированием на основе анализа документа или заимствованием из источников вне документа. Эти сведения во всех областях библиографического описания, кроме области примечания, приводятся в квадратных скобках</w:t>
      </w:r>
      <w:r>
        <w:rPr>
          <w:rFonts w:ascii="Times New Roman" w:hAnsi="Times New Roman"/>
          <w:sz w:val="26"/>
          <w:szCs w:val="26"/>
        </w:rPr>
        <w:t xml:space="preserve">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Для отдельного тома применяется следующая библиографическая запись: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Казьмин</w:t>
      </w:r>
      <w:r>
        <w:rPr>
          <w:rFonts w:ascii="Times New Roman" w:hAnsi="Times New Roman"/>
          <w:sz w:val="26"/>
          <w:szCs w:val="26"/>
        </w:rPr>
        <w:t xml:space="preserve">, В. Д. Справочник домашнего врача : в 3 ч. / В. </w:t>
      </w:r>
      <w:r>
        <w:rPr>
          <w:rFonts w:ascii="Times New Roman" w:hAnsi="Times New Roman"/>
          <w:sz w:val="26"/>
          <w:szCs w:val="26"/>
        </w:rPr>
        <w:t xml:space="preserve">Казьмин</w:t>
      </w:r>
      <w:r>
        <w:rPr>
          <w:rFonts w:ascii="Times New Roman" w:hAnsi="Times New Roman"/>
          <w:sz w:val="26"/>
          <w:szCs w:val="26"/>
        </w:rPr>
        <w:t xml:space="preserve">. – Москва : АСТ : </w:t>
      </w:r>
      <w:r>
        <w:rPr>
          <w:rFonts w:ascii="Times New Roman" w:hAnsi="Times New Roman"/>
          <w:sz w:val="26"/>
          <w:szCs w:val="26"/>
        </w:rPr>
        <w:t xml:space="preserve">Астрель</w:t>
      </w:r>
      <w:r>
        <w:rPr>
          <w:rFonts w:ascii="Times New Roman" w:hAnsi="Times New Roman"/>
          <w:sz w:val="26"/>
          <w:szCs w:val="26"/>
        </w:rPr>
        <w:t xml:space="preserve">, 2002. – Ч. 2 : Детские болезни. – 503 с. – ISBN 5-17- 011143-6.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Казьмин</w:t>
      </w:r>
      <w:r>
        <w:rPr>
          <w:rFonts w:ascii="Times New Roman" w:hAnsi="Times New Roman"/>
          <w:sz w:val="26"/>
          <w:szCs w:val="26"/>
        </w:rPr>
        <w:t xml:space="preserve">, В. Д. Справочник домашнего врача. В 3 ч. Ч. 2. Детские болезни / В. </w:t>
      </w:r>
      <w:r>
        <w:rPr>
          <w:rFonts w:ascii="Times New Roman" w:hAnsi="Times New Roman"/>
          <w:sz w:val="26"/>
          <w:szCs w:val="26"/>
        </w:rPr>
        <w:t xml:space="preserve">Казьмин</w:t>
      </w:r>
      <w:r>
        <w:rPr>
          <w:rFonts w:ascii="Times New Roman" w:hAnsi="Times New Roman"/>
          <w:sz w:val="26"/>
          <w:szCs w:val="26"/>
        </w:rPr>
        <w:t xml:space="preserve">. – Москва : АСТ : </w:t>
      </w:r>
      <w:r>
        <w:rPr>
          <w:rFonts w:ascii="Times New Roman" w:hAnsi="Times New Roman"/>
          <w:sz w:val="26"/>
          <w:szCs w:val="26"/>
        </w:rPr>
        <w:t xml:space="preserve">Астрель</w:t>
      </w:r>
      <w:r>
        <w:rPr>
          <w:rFonts w:ascii="Times New Roman" w:hAnsi="Times New Roman"/>
          <w:sz w:val="26"/>
          <w:szCs w:val="26"/>
        </w:rPr>
        <w:t xml:space="preserve">, 2002. – 503 с. – ISBN 5-17-011143-6.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Л.3 Библиографическая запись на сборники произведений: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Внешняя политика современной России : сб. ст. / Дипломат. акад. МИД Рос. Федерации; под ред. А. Ю. </w:t>
      </w:r>
      <w:r>
        <w:rPr>
          <w:rFonts w:ascii="Times New Roman" w:hAnsi="Times New Roman"/>
          <w:sz w:val="26"/>
          <w:szCs w:val="26"/>
        </w:rPr>
        <w:t xml:space="preserve">Руднецкого</w:t>
      </w:r>
      <w:r>
        <w:rPr>
          <w:rFonts w:ascii="Times New Roman" w:hAnsi="Times New Roman"/>
          <w:sz w:val="26"/>
          <w:szCs w:val="26"/>
        </w:rPr>
        <w:t xml:space="preserve">. – Москва : </w:t>
      </w:r>
      <w:r>
        <w:rPr>
          <w:rFonts w:ascii="Times New Roman" w:hAnsi="Times New Roman"/>
          <w:sz w:val="26"/>
          <w:szCs w:val="26"/>
        </w:rPr>
        <w:t xml:space="preserve">Междунар</w:t>
      </w:r>
      <w:r>
        <w:rPr>
          <w:rFonts w:ascii="Times New Roman" w:hAnsi="Times New Roman"/>
          <w:sz w:val="26"/>
          <w:szCs w:val="26"/>
        </w:rPr>
        <w:t xml:space="preserve">. отношения, 2000. – 292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Государственный Эрмитаж (Санкт-Петербург). Отчетная археологическая сессия (2002) : тез. </w:t>
      </w:r>
      <w:r>
        <w:rPr>
          <w:rFonts w:ascii="Times New Roman" w:hAnsi="Times New Roman"/>
          <w:sz w:val="26"/>
          <w:szCs w:val="26"/>
        </w:rPr>
        <w:t xml:space="preserve">докл</w:t>
      </w:r>
      <w:r>
        <w:rPr>
          <w:rFonts w:ascii="Times New Roman" w:hAnsi="Times New Roman"/>
          <w:sz w:val="26"/>
          <w:szCs w:val="26"/>
        </w:rPr>
        <w:t xml:space="preserve">. /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Эрмитаж. – Санкт-Петербург : Изд-во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Эрмитажа, 2001. – 62 с. – ISBN 5-93572-047-7.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Воспитательный процесс в высшей школе России : </w:t>
      </w:r>
      <w:r>
        <w:rPr>
          <w:rFonts w:ascii="Times New Roman" w:hAnsi="Times New Roman"/>
          <w:sz w:val="26"/>
          <w:szCs w:val="26"/>
        </w:rPr>
        <w:t xml:space="preserve">межвуз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науч.-практ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конф</w:t>
      </w:r>
      <w:r>
        <w:rPr>
          <w:rFonts w:ascii="Times New Roman" w:hAnsi="Times New Roman"/>
          <w:sz w:val="26"/>
          <w:szCs w:val="26"/>
        </w:rPr>
        <w:t xml:space="preserve">. 26-27 апр. 2001 г., Новосибирск : </w:t>
      </w:r>
      <w:r>
        <w:rPr>
          <w:rFonts w:ascii="Times New Roman" w:hAnsi="Times New Roman"/>
          <w:sz w:val="26"/>
          <w:szCs w:val="26"/>
        </w:rPr>
        <w:t xml:space="preserve">посвящ</w:t>
      </w:r>
      <w:r>
        <w:rPr>
          <w:rFonts w:ascii="Times New Roman" w:hAnsi="Times New Roman"/>
          <w:sz w:val="26"/>
          <w:szCs w:val="26"/>
        </w:rPr>
        <w:t xml:space="preserve">. 50-летию НГАВТ : материалы / </w:t>
      </w:r>
      <w:r>
        <w:rPr>
          <w:rFonts w:ascii="Times New Roman" w:hAnsi="Times New Roman"/>
          <w:sz w:val="26"/>
          <w:szCs w:val="26"/>
        </w:rPr>
        <w:t xml:space="preserve">редкол</w:t>
      </w:r>
      <w:r>
        <w:rPr>
          <w:rFonts w:ascii="Times New Roman" w:hAnsi="Times New Roman"/>
          <w:sz w:val="26"/>
          <w:szCs w:val="26"/>
        </w:rPr>
        <w:t xml:space="preserve">.: А. Б. Борисов [и др.]. – Новосибирск : НГАВТ, 2001. – 157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Воспитательный процесс в высшей школе России / </w:t>
      </w:r>
      <w:r>
        <w:rPr>
          <w:rFonts w:ascii="Times New Roman" w:hAnsi="Times New Roman"/>
          <w:sz w:val="26"/>
          <w:szCs w:val="26"/>
        </w:rPr>
        <w:t xml:space="preserve">редкол</w:t>
      </w:r>
      <w:r>
        <w:rPr>
          <w:rFonts w:ascii="Times New Roman" w:hAnsi="Times New Roman"/>
          <w:sz w:val="26"/>
          <w:szCs w:val="26"/>
        </w:rPr>
        <w:t xml:space="preserve">.: А. Б. Борисов [и др.]. – Новосибирск : НГАВТ, 2001. – 157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Примеры описания сборников без общего заглавия: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Гиляровский, В. А. Москва и москвичи; Друзья и встречи; Люди театра / В. А. Гиляровский; вступ. ст. и примеч. А. Петрова; </w:t>
      </w:r>
      <w:r>
        <w:rPr>
          <w:rFonts w:ascii="Times New Roman" w:hAnsi="Times New Roman"/>
          <w:sz w:val="26"/>
          <w:szCs w:val="26"/>
        </w:rPr>
        <w:t xml:space="preserve">худож</w:t>
      </w:r>
      <w:r>
        <w:rPr>
          <w:rFonts w:ascii="Times New Roman" w:hAnsi="Times New Roman"/>
          <w:sz w:val="26"/>
          <w:szCs w:val="26"/>
        </w:rPr>
        <w:t xml:space="preserve">. И. Лыков. – Москва : </w:t>
      </w:r>
      <w:r>
        <w:rPr>
          <w:rFonts w:ascii="Times New Roman" w:hAnsi="Times New Roman"/>
          <w:sz w:val="26"/>
          <w:szCs w:val="26"/>
        </w:rPr>
        <w:t xml:space="preserve">ЭКСМО-пресс</w:t>
      </w:r>
      <w:r>
        <w:rPr>
          <w:rFonts w:ascii="Times New Roman" w:hAnsi="Times New Roman"/>
          <w:sz w:val="26"/>
          <w:szCs w:val="26"/>
        </w:rPr>
        <w:t xml:space="preserve">, 2001. – 638 с. – (Русская классика). – ISBN 5-04-0086687.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Л.4 Библиографическая запись на законодательные материалы: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Российская Федерация. Конституция (1993). Конституция Российской Федерации: офиц. текст. – Москва : Маркетинг, 2001. – 39 с. – ISBN 5-94462-025-0.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Российская Федерация. Законы. О воинской обязанности и военной службе : </w:t>
      </w:r>
      <w:r>
        <w:rPr>
          <w:rFonts w:ascii="Times New Roman" w:hAnsi="Times New Roman"/>
          <w:sz w:val="26"/>
          <w:szCs w:val="26"/>
        </w:rPr>
        <w:t xml:space="preserve">федер</w:t>
      </w:r>
      <w:r>
        <w:rPr>
          <w:rFonts w:ascii="Times New Roman" w:hAnsi="Times New Roman"/>
          <w:sz w:val="26"/>
          <w:szCs w:val="26"/>
        </w:rPr>
        <w:t xml:space="preserve">. закон : [принят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Думой 6 марта 1998 г.: </w:t>
      </w:r>
      <w:r>
        <w:rPr>
          <w:rFonts w:ascii="Times New Roman" w:hAnsi="Times New Roman"/>
          <w:sz w:val="26"/>
          <w:szCs w:val="26"/>
        </w:rPr>
        <w:t xml:space="preserve">одобр</w:t>
      </w:r>
      <w:r>
        <w:rPr>
          <w:rFonts w:ascii="Times New Roman" w:hAnsi="Times New Roman"/>
          <w:sz w:val="26"/>
          <w:szCs w:val="26"/>
        </w:rPr>
        <w:t xml:space="preserve">. Советом Федерации 12 марта 1998 г.]. – 4-е изд. – Москва : Ось-89, 2001. – (Актуальный закон). – ISBN 5-86894-528-Х.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Конституция Российской Федерации. – Москва : Маркетинг, 2001. – 39 с. – ISBN 5-94462-025-0.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Гражданский процессуальный кодекс РСФСР : офиц. текст : по состоянию на 15 </w:t>
      </w:r>
      <w:r>
        <w:rPr>
          <w:rFonts w:ascii="Times New Roman" w:hAnsi="Times New Roman"/>
          <w:sz w:val="26"/>
          <w:szCs w:val="26"/>
        </w:rPr>
        <w:t xml:space="preserve">нояб</w:t>
      </w:r>
      <w:r>
        <w:rPr>
          <w:rFonts w:ascii="Times New Roman" w:hAnsi="Times New Roman"/>
          <w:sz w:val="26"/>
          <w:szCs w:val="26"/>
        </w:rPr>
        <w:t xml:space="preserve">. 2001 г. / </w:t>
      </w:r>
      <w:r>
        <w:rPr>
          <w:rFonts w:ascii="Times New Roman" w:hAnsi="Times New Roman"/>
          <w:sz w:val="26"/>
          <w:szCs w:val="26"/>
        </w:rPr>
        <w:t xml:space="preserve">М-во</w:t>
      </w:r>
      <w:r>
        <w:rPr>
          <w:rFonts w:ascii="Times New Roman" w:hAnsi="Times New Roman"/>
          <w:sz w:val="26"/>
          <w:szCs w:val="26"/>
        </w:rPr>
        <w:t xml:space="preserve"> юстиции Рос. Федерации. – Москва : Маркетинг, 2001. – 159 с. – ISBN 5-94462-191-5.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Л.5 Библиографическая запись на описание правил: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Правила безопасности при обслуживании гидротехнических сооружений и гидромеханического оборудования </w:t>
      </w:r>
      <w:r>
        <w:rPr>
          <w:rFonts w:ascii="Times New Roman" w:hAnsi="Times New Roman"/>
          <w:sz w:val="26"/>
          <w:szCs w:val="26"/>
        </w:rPr>
        <w:t xml:space="preserve">энергоснабжающих</w:t>
      </w:r>
      <w:r>
        <w:rPr>
          <w:rFonts w:ascii="Times New Roman" w:hAnsi="Times New Roman"/>
          <w:sz w:val="26"/>
          <w:szCs w:val="26"/>
        </w:rPr>
        <w:t xml:space="preserve"> организаций : РД 153-34.0-03.205–2001 : утв. </w:t>
      </w:r>
      <w:r>
        <w:rPr>
          <w:rFonts w:ascii="Times New Roman" w:hAnsi="Times New Roman"/>
          <w:sz w:val="26"/>
          <w:szCs w:val="26"/>
        </w:rPr>
        <w:t xml:space="preserve">М-вом</w:t>
      </w:r>
      <w:r>
        <w:rPr>
          <w:rFonts w:ascii="Times New Roman" w:hAnsi="Times New Roman"/>
          <w:sz w:val="26"/>
          <w:szCs w:val="26"/>
        </w:rPr>
        <w:t xml:space="preserve"> энергетики Рос. Федерации 13.04.01: ввод. в действие с 01.11.01. – Москва : ЭНАС, 2001. – 158 с. – ISBN 5-93196-091-0.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Правила устройства и безопасной эксплуатации подъемников (вышек): ПБ 10-256-98 : утв. </w:t>
      </w:r>
      <w:r>
        <w:rPr>
          <w:rFonts w:ascii="Times New Roman" w:hAnsi="Times New Roman"/>
          <w:sz w:val="26"/>
          <w:szCs w:val="26"/>
        </w:rPr>
        <w:t xml:space="preserve">Гостехнадзором</w:t>
      </w:r>
      <w:r>
        <w:rPr>
          <w:rFonts w:ascii="Times New Roman" w:hAnsi="Times New Roman"/>
          <w:sz w:val="26"/>
          <w:szCs w:val="26"/>
        </w:rPr>
        <w:t xml:space="preserve"> России 24.11.98 : </w:t>
      </w:r>
      <w:r>
        <w:rPr>
          <w:rFonts w:ascii="Times New Roman" w:hAnsi="Times New Roman"/>
          <w:sz w:val="26"/>
          <w:szCs w:val="26"/>
        </w:rPr>
        <w:t xml:space="preserve">обязат</w:t>
      </w:r>
      <w:r>
        <w:rPr>
          <w:rFonts w:ascii="Times New Roman" w:hAnsi="Times New Roman"/>
          <w:sz w:val="26"/>
          <w:szCs w:val="26"/>
        </w:rPr>
        <w:t xml:space="preserve">. для всех </w:t>
      </w:r>
      <w:r>
        <w:rPr>
          <w:rFonts w:ascii="Times New Roman" w:hAnsi="Times New Roman"/>
          <w:sz w:val="26"/>
          <w:szCs w:val="26"/>
        </w:rPr>
        <w:t xml:space="preserve">м-в</w:t>
      </w:r>
      <w:r>
        <w:rPr>
          <w:rFonts w:ascii="Times New Roman" w:hAnsi="Times New Roman"/>
          <w:sz w:val="26"/>
          <w:szCs w:val="26"/>
        </w:rPr>
        <w:t xml:space="preserve">, ведомств, предприятий и орг., независимо от их </w:t>
      </w:r>
      <w:r>
        <w:rPr>
          <w:rFonts w:ascii="Times New Roman" w:hAnsi="Times New Roman"/>
          <w:sz w:val="26"/>
          <w:szCs w:val="26"/>
        </w:rPr>
        <w:t xml:space="preserve">орг.-правовой</w:t>
      </w:r>
      <w:r>
        <w:rPr>
          <w:rFonts w:ascii="Times New Roman" w:hAnsi="Times New Roman"/>
          <w:sz w:val="26"/>
          <w:szCs w:val="26"/>
        </w:rPr>
        <w:t xml:space="preserve"> формы и формы собственности, а также для </w:t>
      </w:r>
      <w:r>
        <w:rPr>
          <w:rFonts w:ascii="Times New Roman" w:hAnsi="Times New Roman"/>
          <w:sz w:val="26"/>
          <w:szCs w:val="26"/>
        </w:rPr>
        <w:t xml:space="preserve">индивидуал</w:t>
      </w:r>
      <w:r>
        <w:rPr>
          <w:rFonts w:ascii="Times New Roman" w:hAnsi="Times New Roman"/>
          <w:sz w:val="26"/>
          <w:szCs w:val="26"/>
        </w:rPr>
        <w:t xml:space="preserve">. предпринимателей. – СПб.: ДЕАН, 2001. – 110 с. – (Безопасность труда России). – ISBN 5-93630-132-Х.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Л.6 Библиографическая запись на нормативные документы по стандартизации: </w:t>
      </w:r>
      <w:r>
        <w:rPr>
          <w:rFonts w:ascii="Times New Roman" w:hAnsi="Times New Roman"/>
          <w:i/>
          <w:sz w:val="26"/>
          <w:szCs w:val="26"/>
        </w:rPr>
      </w:r>
      <w:r>
        <w:rPr>
          <w:rFonts w:ascii="Times New Roman" w:hAnsi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Запись под заголовком: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Р 517721–2001. Аппаратура радиоэлектронная бытовая. Входные и выходные параметры и типы соединений. Технические требования. – </w:t>
      </w:r>
      <w:r>
        <w:rPr>
          <w:rFonts w:ascii="Times New Roman" w:hAnsi="Times New Roman"/>
          <w:sz w:val="26"/>
          <w:szCs w:val="26"/>
        </w:rPr>
        <w:t xml:space="preserve">Введ</w:t>
      </w:r>
      <w:r>
        <w:rPr>
          <w:rFonts w:ascii="Times New Roman" w:hAnsi="Times New Roman"/>
          <w:sz w:val="26"/>
          <w:szCs w:val="26"/>
        </w:rPr>
        <w:t xml:space="preserve">. 2002–01–01. – Москва : Изд-во стандартов, 2001. – 27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ГОСТ 7. 53–2001. Издания. Международная стандартная нумерация книг. – Взамен ГОСТ 7.53–86; </w:t>
      </w:r>
      <w:r>
        <w:rPr>
          <w:rFonts w:ascii="Times New Roman" w:hAnsi="Times New Roman"/>
          <w:sz w:val="26"/>
          <w:szCs w:val="26"/>
        </w:rPr>
        <w:t xml:space="preserve">введ</w:t>
      </w:r>
      <w:r>
        <w:rPr>
          <w:rFonts w:ascii="Times New Roman" w:hAnsi="Times New Roman"/>
          <w:sz w:val="26"/>
          <w:szCs w:val="26"/>
        </w:rPr>
        <w:t xml:space="preserve">. 2002–07–01. – Минск : </w:t>
      </w:r>
      <w:r>
        <w:rPr>
          <w:rFonts w:ascii="Times New Roman" w:hAnsi="Times New Roman"/>
          <w:sz w:val="26"/>
          <w:szCs w:val="26"/>
        </w:rPr>
        <w:t xml:space="preserve">Межгос</w:t>
      </w:r>
      <w:r>
        <w:rPr>
          <w:rFonts w:ascii="Times New Roman" w:hAnsi="Times New Roman"/>
          <w:sz w:val="26"/>
          <w:szCs w:val="26"/>
        </w:rPr>
        <w:t xml:space="preserve">. совет по стандартизации, метрологии и сертификации; М. : Изд-во стандартов, 2002. – 3 с. – (Система стандартов по информации, библиотечному и издательскому делу).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Запись под заглавием:</w:t>
      </w:r>
      <w:r>
        <w:rPr>
          <w:rFonts w:ascii="Times New Roman" w:hAnsi="Times New Roman"/>
          <w:sz w:val="26"/>
          <w:szCs w:val="26"/>
        </w:rPr>
        <w:t xml:space="preserve"> Аппаратура радиоэлектронная бытовая. Входные и выходные параметры и типы соединений. Технические требования: ГОСТ Р 517721–2001. – </w:t>
      </w:r>
      <w:r>
        <w:rPr>
          <w:rFonts w:ascii="Times New Roman" w:hAnsi="Times New Roman"/>
          <w:sz w:val="26"/>
          <w:szCs w:val="26"/>
        </w:rPr>
        <w:t xml:space="preserve">Введ</w:t>
      </w:r>
      <w:r>
        <w:rPr>
          <w:rFonts w:ascii="Times New Roman" w:hAnsi="Times New Roman"/>
          <w:sz w:val="26"/>
          <w:szCs w:val="26"/>
        </w:rPr>
        <w:t xml:space="preserve">. 2002–01–01. – Москва : Изд-во стандартов, 2001. – 27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Система стандартов безопасности труда: [сборник]. – Москва : Изд-во стандартов, 2002. – 102 с. – (Межгосударственные стандарты)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Л.7 Библиографическая запись на патентные документы: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Пат. 2187888 Российская Федерация, МПК7 H 04 В 1/38, Н 04 J 13/00. Приемопередающее устройство / Чугаева В. И.; заявитель и </w:t>
      </w:r>
      <w:r>
        <w:rPr>
          <w:rFonts w:ascii="Times New Roman" w:hAnsi="Times New Roman"/>
          <w:sz w:val="26"/>
          <w:szCs w:val="26"/>
        </w:rPr>
        <w:t xml:space="preserve">патентообладатель</w:t>
      </w:r>
      <w:r>
        <w:rPr>
          <w:rFonts w:ascii="Times New Roman" w:hAnsi="Times New Roman"/>
          <w:sz w:val="26"/>
          <w:szCs w:val="26"/>
        </w:rPr>
        <w:t xml:space="preserve"> Воронеж. </w:t>
      </w:r>
      <w:r>
        <w:rPr>
          <w:rFonts w:ascii="Times New Roman" w:hAnsi="Times New Roman"/>
          <w:sz w:val="26"/>
          <w:szCs w:val="26"/>
        </w:rPr>
        <w:t xml:space="preserve">науч.-ислед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связи. – № 2000131736/09; </w:t>
      </w:r>
      <w:r>
        <w:rPr>
          <w:rFonts w:ascii="Times New Roman" w:hAnsi="Times New Roman"/>
          <w:sz w:val="26"/>
          <w:szCs w:val="26"/>
        </w:rPr>
        <w:t xml:space="preserve">заявл</w:t>
      </w:r>
      <w:r>
        <w:rPr>
          <w:rFonts w:ascii="Times New Roman" w:hAnsi="Times New Roman"/>
          <w:sz w:val="26"/>
          <w:szCs w:val="26"/>
        </w:rPr>
        <w:t xml:space="preserve">. 18.12.00; </w:t>
      </w:r>
      <w:r>
        <w:rPr>
          <w:rFonts w:ascii="Times New Roman" w:hAnsi="Times New Roman"/>
          <w:sz w:val="26"/>
          <w:szCs w:val="26"/>
        </w:rPr>
        <w:t xml:space="preserve">опубл</w:t>
      </w:r>
      <w:r>
        <w:rPr>
          <w:rFonts w:ascii="Times New Roman" w:hAnsi="Times New Roman"/>
          <w:sz w:val="26"/>
          <w:szCs w:val="26"/>
        </w:rPr>
        <w:t xml:space="preserve">. 20.08.02, </w:t>
      </w:r>
      <w:r>
        <w:rPr>
          <w:rFonts w:ascii="Times New Roman" w:hAnsi="Times New Roman"/>
          <w:sz w:val="26"/>
          <w:szCs w:val="26"/>
        </w:rPr>
        <w:t xml:space="preserve">Бюл</w:t>
      </w:r>
      <w:r>
        <w:rPr>
          <w:rFonts w:ascii="Times New Roman" w:hAnsi="Times New Roman"/>
          <w:sz w:val="26"/>
          <w:szCs w:val="26"/>
        </w:rPr>
        <w:t xml:space="preserve">. № 23 (II ч.). – 3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Приемопередающее устройство : пат. 2187888 Рос. Федерация: МПК7 H 04 В 1/38, Н 04 J 13/00 / Чугаева В. И.; заявитель и </w:t>
      </w:r>
      <w:r>
        <w:rPr>
          <w:rFonts w:ascii="Times New Roman" w:hAnsi="Times New Roman"/>
          <w:sz w:val="26"/>
          <w:szCs w:val="26"/>
        </w:rPr>
        <w:t xml:space="preserve">патентообладатель</w:t>
      </w:r>
      <w:r>
        <w:rPr>
          <w:rFonts w:ascii="Times New Roman" w:hAnsi="Times New Roman"/>
          <w:sz w:val="26"/>
          <w:szCs w:val="26"/>
        </w:rPr>
        <w:t xml:space="preserve"> Воронеж. </w:t>
      </w:r>
      <w:r>
        <w:rPr>
          <w:rFonts w:ascii="Times New Roman" w:hAnsi="Times New Roman"/>
          <w:sz w:val="26"/>
          <w:szCs w:val="26"/>
        </w:rPr>
        <w:t xml:space="preserve">науч.-ислед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связи. – № 2000131736/09; </w:t>
      </w:r>
      <w:r>
        <w:rPr>
          <w:rFonts w:ascii="Times New Roman" w:hAnsi="Times New Roman"/>
          <w:sz w:val="26"/>
          <w:szCs w:val="26"/>
        </w:rPr>
        <w:t xml:space="preserve">заявл</w:t>
      </w:r>
      <w:r>
        <w:rPr>
          <w:rFonts w:ascii="Times New Roman" w:hAnsi="Times New Roman"/>
          <w:sz w:val="26"/>
          <w:szCs w:val="26"/>
        </w:rPr>
        <w:t xml:space="preserve">. 18.12.00; </w:t>
      </w:r>
      <w:r>
        <w:rPr>
          <w:rFonts w:ascii="Times New Roman" w:hAnsi="Times New Roman"/>
          <w:sz w:val="26"/>
          <w:szCs w:val="26"/>
        </w:rPr>
        <w:t xml:space="preserve">опубл</w:t>
      </w:r>
      <w:r>
        <w:rPr>
          <w:rFonts w:ascii="Times New Roman" w:hAnsi="Times New Roman"/>
          <w:sz w:val="26"/>
          <w:szCs w:val="26"/>
        </w:rPr>
        <w:t xml:space="preserve">. 20.08.02, </w:t>
      </w:r>
      <w:r>
        <w:rPr>
          <w:rFonts w:ascii="Times New Roman" w:hAnsi="Times New Roman"/>
          <w:sz w:val="26"/>
          <w:szCs w:val="26"/>
        </w:rPr>
        <w:t xml:space="preserve">Бюл</w:t>
      </w:r>
      <w:r>
        <w:rPr>
          <w:rFonts w:ascii="Times New Roman" w:hAnsi="Times New Roman"/>
          <w:sz w:val="26"/>
          <w:szCs w:val="26"/>
        </w:rPr>
        <w:t xml:space="preserve">. № 23 (II ч.). – 3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Заявка 1095735 Российская Федерация, МПК7 В 64 G 1/00. Одноразовая ракета-носитель / Тернер Э. В. (США); заявитель </w:t>
      </w:r>
      <w:r>
        <w:rPr>
          <w:rFonts w:ascii="Times New Roman" w:hAnsi="Times New Roman"/>
          <w:sz w:val="26"/>
          <w:szCs w:val="26"/>
        </w:rPr>
        <w:t xml:space="preserve">Спейс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Системз</w:t>
      </w:r>
      <w:r>
        <w:rPr>
          <w:rFonts w:ascii="Times New Roman" w:hAnsi="Times New Roman"/>
          <w:sz w:val="26"/>
          <w:szCs w:val="26"/>
        </w:rPr>
        <w:t xml:space="preserve">/</w:t>
      </w:r>
      <w:r>
        <w:rPr>
          <w:rFonts w:ascii="Times New Roman" w:hAnsi="Times New Roman"/>
          <w:sz w:val="26"/>
          <w:szCs w:val="26"/>
        </w:rPr>
        <w:t xml:space="preserve">Лорал</w:t>
      </w:r>
      <w:r>
        <w:rPr>
          <w:rFonts w:ascii="Times New Roman" w:hAnsi="Times New Roman"/>
          <w:sz w:val="26"/>
          <w:szCs w:val="26"/>
        </w:rPr>
        <w:t xml:space="preserve">, инк.; пат. поверенный Егорова Г. Б. – № 2000108705/28; </w:t>
      </w:r>
      <w:r>
        <w:rPr>
          <w:rFonts w:ascii="Times New Roman" w:hAnsi="Times New Roman"/>
          <w:sz w:val="26"/>
          <w:szCs w:val="26"/>
        </w:rPr>
        <w:t xml:space="preserve">заявл</w:t>
      </w:r>
      <w:r>
        <w:rPr>
          <w:rFonts w:ascii="Times New Roman" w:hAnsi="Times New Roman"/>
          <w:sz w:val="26"/>
          <w:szCs w:val="26"/>
        </w:rPr>
        <w:t xml:space="preserve">. 07.04.00; </w:t>
      </w:r>
      <w:r>
        <w:rPr>
          <w:rFonts w:ascii="Times New Roman" w:hAnsi="Times New Roman"/>
          <w:sz w:val="26"/>
          <w:szCs w:val="26"/>
        </w:rPr>
        <w:t xml:space="preserve">опубл</w:t>
      </w:r>
      <w:r>
        <w:rPr>
          <w:rFonts w:ascii="Times New Roman" w:hAnsi="Times New Roman"/>
          <w:sz w:val="26"/>
          <w:szCs w:val="26"/>
        </w:rPr>
        <w:t xml:space="preserve">. 10.03.01, </w:t>
      </w:r>
      <w:r>
        <w:rPr>
          <w:rFonts w:ascii="Times New Roman" w:hAnsi="Times New Roman"/>
          <w:sz w:val="26"/>
          <w:szCs w:val="26"/>
        </w:rPr>
        <w:t xml:space="preserve">Бюл</w:t>
      </w:r>
      <w:r>
        <w:rPr>
          <w:rFonts w:ascii="Times New Roman" w:hAnsi="Times New Roman"/>
          <w:sz w:val="26"/>
          <w:szCs w:val="26"/>
        </w:rPr>
        <w:t xml:space="preserve">. № 7 (I ч.); приоритет 09.04.99, № 09/289, 037 (США). – 5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Одноразовая ракета-носитель : заявка 1095735 Рос. Федерация : МПК7 В 64 G 1/00 / Тернер Э. В. (США); заявитель </w:t>
      </w:r>
      <w:r>
        <w:rPr>
          <w:rFonts w:ascii="Times New Roman" w:hAnsi="Times New Roman"/>
          <w:sz w:val="26"/>
          <w:szCs w:val="26"/>
        </w:rPr>
        <w:t xml:space="preserve">Спейс</w:t>
      </w:r>
      <w:r>
        <w:rPr>
          <w:rFonts w:ascii="Times New Roman" w:hAnsi="Times New Roman"/>
          <w:sz w:val="26"/>
          <w:szCs w:val="26"/>
        </w:rPr>
        <w:t xml:space="preserve"> Систем / </w:t>
      </w:r>
      <w:r>
        <w:rPr>
          <w:rFonts w:ascii="Times New Roman" w:hAnsi="Times New Roman"/>
          <w:sz w:val="26"/>
          <w:szCs w:val="26"/>
        </w:rPr>
        <w:t xml:space="preserve">Лорал</w:t>
      </w:r>
      <w:r>
        <w:rPr>
          <w:rFonts w:ascii="Times New Roman" w:hAnsi="Times New Roman"/>
          <w:sz w:val="26"/>
          <w:szCs w:val="26"/>
        </w:rPr>
        <w:t xml:space="preserve">, инк.; пат. поверенный Егорова Г. Б. – № 2000108705/28; </w:t>
      </w:r>
      <w:r>
        <w:rPr>
          <w:rFonts w:ascii="Times New Roman" w:hAnsi="Times New Roman"/>
          <w:sz w:val="26"/>
          <w:szCs w:val="26"/>
        </w:rPr>
        <w:t xml:space="preserve">заявл</w:t>
      </w:r>
      <w:r>
        <w:rPr>
          <w:rFonts w:ascii="Times New Roman" w:hAnsi="Times New Roman"/>
          <w:sz w:val="26"/>
          <w:szCs w:val="26"/>
        </w:rPr>
        <w:t xml:space="preserve">. 07.04.00; </w:t>
      </w:r>
      <w:r>
        <w:rPr>
          <w:rFonts w:ascii="Times New Roman" w:hAnsi="Times New Roman"/>
          <w:sz w:val="26"/>
          <w:szCs w:val="26"/>
        </w:rPr>
        <w:t xml:space="preserve">опубл</w:t>
      </w:r>
      <w:r>
        <w:rPr>
          <w:rFonts w:ascii="Times New Roman" w:hAnsi="Times New Roman"/>
          <w:sz w:val="26"/>
          <w:szCs w:val="26"/>
        </w:rPr>
        <w:t xml:space="preserve">. 10.03.01, </w:t>
      </w:r>
      <w:r>
        <w:rPr>
          <w:rFonts w:ascii="Times New Roman" w:hAnsi="Times New Roman"/>
          <w:sz w:val="26"/>
          <w:szCs w:val="26"/>
        </w:rPr>
        <w:t xml:space="preserve">Бюл</w:t>
      </w:r>
      <w:r>
        <w:rPr>
          <w:rFonts w:ascii="Times New Roman" w:hAnsi="Times New Roman"/>
          <w:sz w:val="26"/>
          <w:szCs w:val="26"/>
        </w:rPr>
        <w:t xml:space="preserve">. № 7 (I ч.); приоритет 09.04.99, № 09/289, 037 (США). – 5 с.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Устройство для захвата неориентированных деталей типа валов : а. с. 1007970 СССР: МКИ3 В 25 J 15/00 / В. С. Ваулин, В. Г. </w:t>
      </w:r>
      <w:r>
        <w:rPr>
          <w:rFonts w:ascii="Times New Roman" w:hAnsi="Times New Roman"/>
          <w:sz w:val="26"/>
          <w:szCs w:val="26"/>
        </w:rPr>
        <w:t xml:space="preserve">Кемайкин</w:t>
      </w:r>
      <w:r>
        <w:rPr>
          <w:rFonts w:ascii="Times New Roman" w:hAnsi="Times New Roman"/>
          <w:sz w:val="26"/>
          <w:szCs w:val="26"/>
        </w:rPr>
        <w:t xml:space="preserve"> (СССР). – № 3360585/25–08; </w:t>
      </w:r>
      <w:r>
        <w:rPr>
          <w:rFonts w:ascii="Times New Roman" w:hAnsi="Times New Roman"/>
          <w:sz w:val="26"/>
          <w:szCs w:val="26"/>
        </w:rPr>
        <w:t xml:space="preserve">заявл</w:t>
      </w:r>
      <w:r>
        <w:rPr>
          <w:rFonts w:ascii="Times New Roman" w:hAnsi="Times New Roman"/>
          <w:sz w:val="26"/>
          <w:szCs w:val="26"/>
        </w:rPr>
        <w:t xml:space="preserve">. 23.11.81; </w:t>
      </w:r>
      <w:r>
        <w:rPr>
          <w:rFonts w:ascii="Times New Roman" w:hAnsi="Times New Roman"/>
          <w:sz w:val="26"/>
          <w:szCs w:val="26"/>
        </w:rPr>
        <w:t xml:space="preserve">опубл</w:t>
      </w:r>
      <w:r>
        <w:rPr>
          <w:rFonts w:ascii="Times New Roman" w:hAnsi="Times New Roman"/>
          <w:sz w:val="26"/>
          <w:szCs w:val="26"/>
        </w:rPr>
        <w:t xml:space="preserve">. 30.03.83, </w:t>
      </w:r>
      <w:r>
        <w:rPr>
          <w:rFonts w:ascii="Times New Roman" w:hAnsi="Times New Roman"/>
          <w:sz w:val="26"/>
          <w:szCs w:val="26"/>
        </w:rPr>
        <w:t xml:space="preserve">Бюл</w:t>
      </w:r>
      <w:r>
        <w:rPr>
          <w:rFonts w:ascii="Times New Roman" w:hAnsi="Times New Roman"/>
          <w:sz w:val="26"/>
          <w:szCs w:val="26"/>
        </w:rPr>
        <w:t xml:space="preserve">. № 12. – 2 с.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Л.8 Библиографическая запись на промышленные каталоги: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Оборудование классных комнат общеобразовательных школ : каталог / </w:t>
      </w:r>
      <w:r>
        <w:rPr>
          <w:rFonts w:ascii="Times New Roman" w:hAnsi="Times New Roman"/>
          <w:sz w:val="26"/>
          <w:szCs w:val="26"/>
        </w:rPr>
        <w:t xml:space="preserve">М-во</w:t>
      </w:r>
      <w:r>
        <w:rPr>
          <w:rFonts w:ascii="Times New Roman" w:hAnsi="Times New Roman"/>
          <w:sz w:val="26"/>
          <w:szCs w:val="26"/>
        </w:rPr>
        <w:t xml:space="preserve"> образования РФ, </w:t>
      </w:r>
      <w:r>
        <w:rPr>
          <w:rFonts w:ascii="Times New Roman" w:hAnsi="Times New Roman"/>
          <w:sz w:val="26"/>
          <w:szCs w:val="26"/>
        </w:rPr>
        <w:t xml:space="preserve">Моск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пед</w:t>
      </w:r>
      <w:r>
        <w:rPr>
          <w:rFonts w:ascii="Times New Roman" w:hAnsi="Times New Roman"/>
          <w:sz w:val="26"/>
          <w:szCs w:val="26"/>
        </w:rPr>
        <w:t xml:space="preserve">. ун-т. – Москва : МГПУ, 2002. – 235 с. Машина специальная листогибочная ИО 217М : листок-каталог : разработчик и изготовитель </w:t>
      </w:r>
      <w:r>
        <w:rPr>
          <w:rFonts w:ascii="Times New Roman" w:hAnsi="Times New Roman"/>
          <w:sz w:val="26"/>
          <w:szCs w:val="26"/>
        </w:rPr>
        <w:t xml:space="preserve">Кемер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з-д</w:t>
      </w:r>
      <w:r>
        <w:rPr>
          <w:rFonts w:ascii="Times New Roman" w:hAnsi="Times New Roman"/>
          <w:sz w:val="26"/>
          <w:szCs w:val="26"/>
        </w:rPr>
        <w:t xml:space="preserve"> электромонтаж. изделий. – М., 2002. – 3 л.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Л.9 Библиографическая запись на депонированные научные работы:</w:t>
      </w:r>
      <w:r>
        <w:rPr>
          <w:rFonts w:ascii="Times New Roman" w:hAnsi="Times New Roman"/>
          <w:sz w:val="26"/>
          <w:szCs w:val="26"/>
        </w:rPr>
        <w:t xml:space="preserve"> Разумовский, В. А. Управление маркетинговыми исследованиями в регионе / В. А. Разумовский, Д. А. Андреев;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экономики города. – Москва, 2002. – 210 с. – </w:t>
      </w:r>
      <w:r>
        <w:rPr>
          <w:rFonts w:ascii="Times New Roman" w:hAnsi="Times New Roman"/>
          <w:sz w:val="26"/>
          <w:szCs w:val="26"/>
        </w:rPr>
        <w:t xml:space="preserve">Деп</w:t>
      </w:r>
      <w:r>
        <w:rPr>
          <w:rFonts w:ascii="Times New Roman" w:hAnsi="Times New Roman"/>
          <w:sz w:val="26"/>
          <w:szCs w:val="26"/>
        </w:rPr>
        <w:t xml:space="preserve">. в ИНИОН Рос. акад. наук 15.02.02, № 139876. Социологическое исследование </w:t>
      </w:r>
      <w:r>
        <w:rPr>
          <w:rFonts w:ascii="Times New Roman" w:hAnsi="Times New Roman"/>
          <w:sz w:val="26"/>
          <w:szCs w:val="26"/>
        </w:rPr>
        <w:t xml:space="preserve">малых групп населения / В. И. Иванов [и др.]; </w:t>
      </w:r>
      <w:r>
        <w:rPr>
          <w:rFonts w:ascii="Times New Roman" w:hAnsi="Times New Roman"/>
          <w:sz w:val="26"/>
          <w:szCs w:val="26"/>
        </w:rPr>
        <w:t xml:space="preserve">М-во</w:t>
      </w:r>
      <w:r>
        <w:rPr>
          <w:rFonts w:ascii="Times New Roman" w:hAnsi="Times New Roman"/>
          <w:sz w:val="26"/>
          <w:szCs w:val="26"/>
        </w:rPr>
        <w:t xml:space="preserve"> образования Рос. Федерации, Финансовая акад. – Москва, 2002. – 110 с. – </w:t>
      </w:r>
      <w:r>
        <w:rPr>
          <w:rFonts w:ascii="Times New Roman" w:hAnsi="Times New Roman"/>
          <w:sz w:val="26"/>
          <w:szCs w:val="26"/>
        </w:rPr>
        <w:t xml:space="preserve">Деп</w:t>
      </w:r>
      <w:r>
        <w:rPr>
          <w:rFonts w:ascii="Times New Roman" w:hAnsi="Times New Roman"/>
          <w:sz w:val="26"/>
          <w:szCs w:val="26"/>
        </w:rPr>
        <w:t xml:space="preserve">. в ВИНИТИ 13.06.02, № 145432.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Л.10 Библиографическая запись на отчеты о научно-исследовательской работе, диссертации и др. (неопубликованные документы):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Формирование генетической структуры стада : отчет о НИР (</w:t>
      </w:r>
      <w:r>
        <w:rPr>
          <w:rFonts w:ascii="Times New Roman" w:hAnsi="Times New Roman"/>
          <w:sz w:val="26"/>
          <w:szCs w:val="26"/>
        </w:rPr>
        <w:t xml:space="preserve">промежуточ</w:t>
      </w:r>
      <w:r>
        <w:rPr>
          <w:rFonts w:ascii="Times New Roman" w:hAnsi="Times New Roman"/>
          <w:sz w:val="26"/>
          <w:szCs w:val="26"/>
        </w:rPr>
        <w:t xml:space="preserve">.): 42-44 / </w:t>
      </w:r>
      <w:r>
        <w:rPr>
          <w:rFonts w:ascii="Times New Roman" w:hAnsi="Times New Roman"/>
          <w:sz w:val="26"/>
          <w:szCs w:val="26"/>
        </w:rPr>
        <w:t xml:space="preserve">Всерос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науч.-исслед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животноводства; рук. Попов В. А.; </w:t>
      </w:r>
      <w:r>
        <w:rPr>
          <w:rFonts w:ascii="Times New Roman" w:hAnsi="Times New Roman"/>
          <w:sz w:val="26"/>
          <w:szCs w:val="26"/>
        </w:rPr>
        <w:t xml:space="preserve">исполн</w:t>
      </w:r>
      <w:r>
        <w:rPr>
          <w:rFonts w:ascii="Times New Roman" w:hAnsi="Times New Roman"/>
          <w:sz w:val="26"/>
          <w:szCs w:val="26"/>
        </w:rPr>
        <w:t xml:space="preserve">.: Алешин Г. П. [и др.]. – Москва, 2001. – 75 с. – № ГР 01840051145. – Инв. № 04534333943.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Состояние и перспективы развития статистики печати Российской Федерации : отчет о НИР (</w:t>
      </w:r>
      <w:r>
        <w:rPr>
          <w:rFonts w:ascii="Times New Roman" w:hAnsi="Times New Roman"/>
          <w:sz w:val="26"/>
          <w:szCs w:val="26"/>
        </w:rPr>
        <w:t xml:space="preserve">заключ</w:t>
      </w:r>
      <w:r>
        <w:rPr>
          <w:rFonts w:ascii="Times New Roman" w:hAnsi="Times New Roman"/>
          <w:sz w:val="26"/>
          <w:szCs w:val="26"/>
        </w:rPr>
        <w:t xml:space="preserve">.) : 06-02 / Рос. кн. палата; рук. А. А. </w:t>
      </w:r>
      <w:r>
        <w:rPr>
          <w:rFonts w:ascii="Times New Roman" w:hAnsi="Times New Roman"/>
          <w:sz w:val="26"/>
          <w:szCs w:val="26"/>
        </w:rPr>
        <w:t xml:space="preserve">Джиго</w:t>
      </w:r>
      <w:r>
        <w:rPr>
          <w:rFonts w:ascii="Times New Roman" w:hAnsi="Times New Roman"/>
          <w:sz w:val="26"/>
          <w:szCs w:val="26"/>
        </w:rPr>
        <w:t xml:space="preserve">; </w:t>
      </w:r>
      <w:r>
        <w:rPr>
          <w:rFonts w:ascii="Times New Roman" w:hAnsi="Times New Roman"/>
          <w:sz w:val="26"/>
          <w:szCs w:val="26"/>
        </w:rPr>
        <w:t xml:space="preserve">исполн</w:t>
      </w:r>
      <w:r>
        <w:rPr>
          <w:rFonts w:ascii="Times New Roman" w:hAnsi="Times New Roman"/>
          <w:sz w:val="26"/>
          <w:szCs w:val="26"/>
        </w:rPr>
        <w:t xml:space="preserve">.: В. П. Смирнова [и др.]. – Москва, 2000. – 250 с. – Инв. № 756600.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Белозеров, И. В. Религиозная политика Золотой Орды на Руси в XIII–XIV вв.: </w:t>
      </w:r>
      <w:r>
        <w:rPr>
          <w:rFonts w:ascii="Times New Roman" w:hAnsi="Times New Roman"/>
          <w:sz w:val="26"/>
          <w:szCs w:val="26"/>
        </w:rPr>
        <w:t xml:space="preserve">автореф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дис</w:t>
      </w:r>
      <w:r>
        <w:rPr>
          <w:rFonts w:ascii="Times New Roman" w:hAnsi="Times New Roman"/>
          <w:sz w:val="26"/>
          <w:szCs w:val="26"/>
        </w:rPr>
        <w:t xml:space="preserve">. … канд. ист. наук / И. В. Белозеров. – Москва, 2002. – 21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Белозеров, И. В. Религиозная политика Золотой Орды на Руси в XIII–XIV вв.: </w:t>
      </w:r>
      <w:r>
        <w:rPr>
          <w:rFonts w:ascii="Times New Roman" w:hAnsi="Times New Roman"/>
          <w:sz w:val="26"/>
          <w:szCs w:val="26"/>
        </w:rPr>
        <w:t xml:space="preserve">дис</w:t>
      </w:r>
      <w:r>
        <w:rPr>
          <w:rFonts w:ascii="Times New Roman" w:hAnsi="Times New Roman"/>
          <w:sz w:val="26"/>
          <w:szCs w:val="26"/>
        </w:rPr>
        <w:t xml:space="preserve">. … канд. ист. наук : 07.00.02 : защищена 22.01.02 : утв. 24.06.02 / И. В. Белозеров. – Москва, 2002. – 215 с. – </w:t>
      </w:r>
      <w:r>
        <w:rPr>
          <w:rFonts w:ascii="Times New Roman" w:hAnsi="Times New Roman"/>
          <w:sz w:val="26"/>
          <w:szCs w:val="26"/>
        </w:rPr>
        <w:t xml:space="preserve">Библиогр</w:t>
      </w:r>
      <w:r>
        <w:rPr>
          <w:rFonts w:ascii="Times New Roman" w:hAnsi="Times New Roman"/>
          <w:sz w:val="26"/>
          <w:szCs w:val="26"/>
        </w:rPr>
        <w:t xml:space="preserve">.: с. 202-213. – 04200201565. Вишняков, И. В. Модели и методы оценки коммерческих банков в условиях неопределенности : </w:t>
      </w:r>
      <w:r>
        <w:rPr>
          <w:rFonts w:ascii="Times New Roman" w:hAnsi="Times New Roman"/>
          <w:sz w:val="26"/>
          <w:szCs w:val="26"/>
        </w:rPr>
        <w:t xml:space="preserve">дис</w:t>
      </w:r>
      <w:r>
        <w:rPr>
          <w:rFonts w:ascii="Times New Roman" w:hAnsi="Times New Roman"/>
          <w:sz w:val="26"/>
          <w:szCs w:val="26"/>
        </w:rPr>
        <w:t xml:space="preserve">. … канд. </w:t>
      </w:r>
      <w:r>
        <w:rPr>
          <w:rFonts w:ascii="Times New Roman" w:hAnsi="Times New Roman"/>
          <w:sz w:val="26"/>
          <w:szCs w:val="26"/>
        </w:rPr>
        <w:t xml:space="preserve">экон</w:t>
      </w:r>
      <w:r>
        <w:rPr>
          <w:rFonts w:ascii="Times New Roman" w:hAnsi="Times New Roman"/>
          <w:sz w:val="26"/>
          <w:szCs w:val="26"/>
        </w:rPr>
        <w:t xml:space="preserve">. наук: 08.00.13 : защищена 12.02.02 : утв. 24.06.02 / Вишняков Илья Владимирович. – Москва, 2002. – 234 с. – </w:t>
      </w:r>
      <w:r>
        <w:rPr>
          <w:rFonts w:ascii="Times New Roman" w:hAnsi="Times New Roman"/>
          <w:sz w:val="26"/>
          <w:szCs w:val="26"/>
        </w:rPr>
        <w:t xml:space="preserve">Библиогр</w:t>
      </w:r>
      <w:r>
        <w:rPr>
          <w:rFonts w:ascii="Times New Roman" w:hAnsi="Times New Roman"/>
          <w:sz w:val="26"/>
          <w:szCs w:val="26"/>
        </w:rPr>
        <w:t xml:space="preserve">.: с. 220. – 230. – 04200204433.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Л.11 Библиографическая запись на сериальные и продолжающиеся издания (газеты, журналы, бюллетени, сборники и т. п.):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Успех: </w:t>
      </w:r>
      <w:r>
        <w:rPr>
          <w:rFonts w:ascii="Times New Roman" w:hAnsi="Times New Roman"/>
          <w:sz w:val="26"/>
          <w:szCs w:val="26"/>
        </w:rPr>
        <w:t xml:space="preserve">еженед</w:t>
      </w:r>
      <w:r>
        <w:rPr>
          <w:rFonts w:ascii="Times New Roman" w:hAnsi="Times New Roman"/>
          <w:sz w:val="26"/>
          <w:szCs w:val="26"/>
        </w:rPr>
        <w:t xml:space="preserve">. газ. / учредитель ООО «</w:t>
      </w:r>
      <w:r>
        <w:rPr>
          <w:rFonts w:ascii="Times New Roman" w:hAnsi="Times New Roman"/>
          <w:sz w:val="26"/>
          <w:szCs w:val="26"/>
        </w:rPr>
        <w:t xml:space="preserve">С-инфо</w:t>
      </w:r>
      <w:r>
        <w:rPr>
          <w:rFonts w:ascii="Times New Roman" w:hAnsi="Times New Roman"/>
          <w:sz w:val="26"/>
          <w:szCs w:val="26"/>
        </w:rPr>
        <w:t xml:space="preserve">». – 1998, март – 2000. – Москва, 2000. – 24 полосы. – </w:t>
      </w:r>
      <w:r>
        <w:rPr>
          <w:rFonts w:ascii="Times New Roman" w:hAnsi="Times New Roman"/>
          <w:sz w:val="26"/>
          <w:szCs w:val="26"/>
        </w:rPr>
        <w:t xml:space="preserve">Прекр</w:t>
      </w:r>
      <w:r>
        <w:rPr>
          <w:rFonts w:ascii="Times New Roman" w:hAnsi="Times New Roman"/>
          <w:sz w:val="26"/>
          <w:szCs w:val="26"/>
        </w:rPr>
        <w:t xml:space="preserve">. на 2000, № 14.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Университетская книга: </w:t>
      </w:r>
      <w:r>
        <w:rPr>
          <w:rFonts w:ascii="Times New Roman" w:hAnsi="Times New Roman"/>
          <w:sz w:val="26"/>
          <w:szCs w:val="26"/>
        </w:rPr>
        <w:t xml:space="preserve">ежемес</w:t>
      </w:r>
      <w:r>
        <w:rPr>
          <w:rFonts w:ascii="Times New Roman" w:hAnsi="Times New Roman"/>
          <w:sz w:val="26"/>
          <w:szCs w:val="26"/>
        </w:rPr>
        <w:t xml:space="preserve">. журн. / учредитель Изд. группа «Логос». – 1997, янв. – . – Москва : Изд-во </w:t>
      </w:r>
      <w:r>
        <w:rPr>
          <w:rFonts w:ascii="Times New Roman" w:hAnsi="Times New Roman"/>
          <w:sz w:val="26"/>
          <w:szCs w:val="26"/>
        </w:rPr>
        <w:t xml:space="preserve">Моск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ин-та</w:t>
      </w:r>
      <w:r>
        <w:rPr>
          <w:rFonts w:ascii="Times New Roman" w:hAnsi="Times New Roman"/>
          <w:sz w:val="26"/>
          <w:szCs w:val="26"/>
        </w:rPr>
        <w:t xml:space="preserve"> печати, 2004 – . – ISSN 1726-6726. – 2004, № 1 (85) – 12 (96); 2005, № 1 (98) – 12 (109).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Вопросы инженерной сейсмологии : сб. </w:t>
      </w:r>
      <w:r>
        <w:rPr>
          <w:rFonts w:ascii="Times New Roman" w:hAnsi="Times New Roman"/>
          <w:sz w:val="26"/>
          <w:szCs w:val="26"/>
        </w:rPr>
        <w:t xml:space="preserve">науч</w:t>
      </w:r>
      <w:r>
        <w:rPr>
          <w:rFonts w:ascii="Times New Roman" w:hAnsi="Times New Roman"/>
          <w:sz w:val="26"/>
          <w:szCs w:val="26"/>
        </w:rPr>
        <w:t xml:space="preserve">. тр. / Рос. акад. наук,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физики Земли. – </w:t>
      </w:r>
      <w:r>
        <w:rPr>
          <w:rFonts w:ascii="Times New Roman" w:hAnsi="Times New Roman"/>
          <w:sz w:val="26"/>
          <w:szCs w:val="26"/>
        </w:rPr>
        <w:t xml:space="preserve">Вып</w:t>
      </w:r>
      <w:r>
        <w:rPr>
          <w:rFonts w:ascii="Times New Roman" w:hAnsi="Times New Roman"/>
          <w:sz w:val="26"/>
          <w:szCs w:val="26"/>
        </w:rPr>
        <w:t xml:space="preserve">. 1 (1958) – . – Москва : Наука, 2001. – </w:t>
      </w:r>
      <w:r>
        <w:rPr>
          <w:rFonts w:ascii="Times New Roman" w:hAnsi="Times New Roman"/>
          <w:sz w:val="26"/>
          <w:szCs w:val="26"/>
        </w:rPr>
        <w:t xml:space="preserve">Вып</w:t>
      </w:r>
      <w:r>
        <w:rPr>
          <w:rFonts w:ascii="Times New Roman" w:hAnsi="Times New Roman"/>
          <w:sz w:val="26"/>
          <w:szCs w:val="26"/>
        </w:rPr>
        <w:t xml:space="preserve">. 34. – 2001. – 137 с.; </w:t>
      </w:r>
      <w:r>
        <w:rPr>
          <w:rFonts w:ascii="Times New Roman" w:hAnsi="Times New Roman"/>
          <w:sz w:val="26"/>
          <w:szCs w:val="26"/>
        </w:rPr>
        <w:t xml:space="preserve">вып</w:t>
      </w:r>
      <w:r>
        <w:rPr>
          <w:rFonts w:ascii="Times New Roman" w:hAnsi="Times New Roman"/>
          <w:sz w:val="26"/>
          <w:szCs w:val="26"/>
        </w:rPr>
        <w:t xml:space="preserve">. 35 : Прогнозирование землетрясений. – 2001. – 182 с.; </w:t>
      </w:r>
      <w:r>
        <w:rPr>
          <w:rFonts w:ascii="Times New Roman" w:hAnsi="Times New Roman"/>
          <w:sz w:val="26"/>
          <w:szCs w:val="26"/>
        </w:rPr>
        <w:t xml:space="preserve">вып</w:t>
      </w:r>
      <w:r>
        <w:rPr>
          <w:rFonts w:ascii="Times New Roman" w:hAnsi="Times New Roman"/>
          <w:sz w:val="26"/>
          <w:szCs w:val="26"/>
        </w:rPr>
        <w:t xml:space="preserve">. 36. – 2002. – 165 с.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 </w:t>
      </w:r>
      <w:r>
        <w:rPr>
          <w:rFonts w:ascii="Times New Roman" w:hAnsi="Times New Roman"/>
          <w:sz w:val="24"/>
          <w:szCs w:val="24"/>
        </w:rPr>
        <w:t xml:space="preserve">р</w:t>
      </w:r>
      <w:r>
        <w:rPr>
          <w:rFonts w:ascii="Times New Roman" w:hAnsi="Times New Roman"/>
          <w:sz w:val="24"/>
          <w:szCs w:val="24"/>
        </w:rPr>
        <w:t xml:space="preserve"> и м е ч а </w:t>
      </w:r>
      <w:r>
        <w:rPr>
          <w:rFonts w:ascii="Times New Roman" w:hAnsi="Times New Roman"/>
          <w:sz w:val="24"/>
          <w:szCs w:val="24"/>
        </w:rPr>
        <w:t xml:space="preserve">н</w:t>
      </w:r>
      <w:r>
        <w:rPr>
          <w:rFonts w:ascii="Times New Roman" w:hAnsi="Times New Roman"/>
          <w:sz w:val="24"/>
          <w:szCs w:val="24"/>
        </w:rPr>
        <w:t xml:space="preserve"> и е – Для сериальных документов областью специфических сведений является область нумерации. В этой области приводят сведения о первом и последнем вышедших номерах и (или) датах начала и прекращения сущес</w:t>
      </w:r>
      <w:r>
        <w:rPr>
          <w:rFonts w:ascii="Times New Roman" w:hAnsi="Times New Roman"/>
          <w:sz w:val="24"/>
          <w:szCs w:val="24"/>
        </w:rPr>
        <w:t xml:space="preserve">твования сериального документа. В области отражаются также сведения о перерывах в издании, изменениях и возобновлениях нумерации. При составлении описания на документ, прекративший существование, приводят годы издания первого и последнего номеров, соединен</w:t>
      </w:r>
      <w:r>
        <w:rPr>
          <w:rFonts w:ascii="Times New Roman" w:hAnsi="Times New Roman"/>
          <w:sz w:val="24"/>
          <w:szCs w:val="24"/>
        </w:rPr>
        <w:t xml:space="preserve">ные тире. При составлении описания на документ в целом, если он продолжает публиковаться, приводят год издания первого номера и тире, после которого оставляют интервал в четыре пробела. Сведения об отдельных физических единицах разделяют точкой с запятой.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Л.12 Библиографическая запись на </w:t>
      </w:r>
      <w:r>
        <w:rPr>
          <w:rFonts w:ascii="Times New Roman" w:hAnsi="Times New Roman"/>
          <w:i/>
          <w:sz w:val="26"/>
          <w:szCs w:val="26"/>
        </w:rPr>
        <w:t xml:space="preserve">изоиздания</w:t>
      </w:r>
      <w:r>
        <w:rPr>
          <w:rFonts w:ascii="Times New Roman" w:hAnsi="Times New Roman"/>
          <w:i/>
          <w:sz w:val="26"/>
          <w:szCs w:val="26"/>
        </w:rPr>
        <w:t xml:space="preserve">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Кустодиев, Б. М. Портрет Ирины </w:t>
      </w:r>
      <w:r>
        <w:rPr>
          <w:rFonts w:ascii="Times New Roman" w:hAnsi="Times New Roman"/>
          <w:sz w:val="26"/>
          <w:szCs w:val="26"/>
        </w:rPr>
        <w:t xml:space="preserve">Кустодиевой</w:t>
      </w:r>
      <w:r>
        <w:rPr>
          <w:rFonts w:ascii="Times New Roman" w:hAnsi="Times New Roman"/>
          <w:sz w:val="26"/>
          <w:szCs w:val="26"/>
        </w:rPr>
        <w:t xml:space="preserve"> с собакой </w:t>
      </w:r>
      <w:r>
        <w:rPr>
          <w:rFonts w:ascii="Times New Roman" w:hAnsi="Times New Roman"/>
          <w:sz w:val="26"/>
          <w:szCs w:val="26"/>
        </w:rPr>
        <w:t xml:space="preserve">Шумкой</w:t>
      </w:r>
      <w:r>
        <w:rPr>
          <w:rFonts w:ascii="Times New Roman" w:hAnsi="Times New Roman"/>
          <w:sz w:val="26"/>
          <w:szCs w:val="26"/>
        </w:rPr>
        <w:t xml:space="preserve">, 1907 : холст, масло / Б. М. Кустодиев (1878–1927); </w:t>
      </w:r>
      <w:r>
        <w:rPr>
          <w:rFonts w:ascii="Times New Roman" w:hAnsi="Times New Roman"/>
          <w:sz w:val="26"/>
          <w:szCs w:val="26"/>
        </w:rPr>
        <w:t xml:space="preserve">Межрегион</w:t>
      </w:r>
      <w:r>
        <w:rPr>
          <w:rFonts w:ascii="Times New Roman" w:hAnsi="Times New Roman"/>
          <w:sz w:val="26"/>
          <w:szCs w:val="26"/>
        </w:rPr>
        <w:t xml:space="preserve">. обществ. орг. «Центр духов. культуры» (подготовка </w:t>
      </w:r>
      <w:r>
        <w:rPr>
          <w:rFonts w:ascii="Times New Roman" w:hAnsi="Times New Roman"/>
          <w:sz w:val="26"/>
          <w:szCs w:val="26"/>
        </w:rPr>
        <w:t xml:space="preserve">изобр</w:t>
      </w:r>
      <w:r>
        <w:rPr>
          <w:rFonts w:ascii="Times New Roman" w:hAnsi="Times New Roman"/>
          <w:sz w:val="26"/>
          <w:szCs w:val="26"/>
        </w:rPr>
        <w:t xml:space="preserve">.). – Самара : Агни, 2001. – </w:t>
      </w:r>
      <w:r>
        <w:rPr>
          <w:rFonts w:ascii="Times New Roman" w:hAnsi="Times New Roman"/>
          <w:sz w:val="26"/>
          <w:szCs w:val="26"/>
        </w:rPr>
        <w:t xml:space="preserve">Цв</w:t>
      </w:r>
      <w:r>
        <w:rPr>
          <w:rFonts w:ascii="Times New Roman" w:hAnsi="Times New Roman"/>
          <w:sz w:val="26"/>
          <w:szCs w:val="26"/>
        </w:rPr>
        <w:t xml:space="preserve">. офсет; 2х30 см.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Шедевры французского искусства 18 века : календарь : 2002 / Торговый Дом «Медный всадник»; дизайн П. </w:t>
      </w:r>
      <w:r>
        <w:rPr>
          <w:rFonts w:ascii="Times New Roman" w:hAnsi="Times New Roman"/>
          <w:sz w:val="26"/>
          <w:szCs w:val="26"/>
        </w:rPr>
        <w:t xml:space="preserve">Канайкина</w:t>
      </w:r>
      <w:r>
        <w:rPr>
          <w:rFonts w:ascii="Times New Roman" w:hAnsi="Times New Roman"/>
          <w:sz w:val="26"/>
          <w:szCs w:val="26"/>
        </w:rPr>
        <w:t xml:space="preserve">; вступ. ст. С. Кудрявцевой. – Санкт-Петербург: П-2, 2001. – [24] с.: </w:t>
      </w:r>
      <w:r>
        <w:rPr>
          <w:rFonts w:ascii="Times New Roman" w:hAnsi="Times New Roman"/>
          <w:sz w:val="26"/>
          <w:szCs w:val="26"/>
        </w:rPr>
        <w:t xml:space="preserve">цв</w:t>
      </w:r>
      <w:r>
        <w:rPr>
          <w:rFonts w:ascii="Times New Roman" w:hAnsi="Times New Roman"/>
          <w:sz w:val="26"/>
          <w:szCs w:val="26"/>
        </w:rPr>
        <w:t xml:space="preserve">. ил.; 29х29 см. – (Эрмитажная коллекция).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Л.13 Библиографическая запись на картографические издания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Мир. Политическая карта мира : полит. устройство на 1 янв. 2001 г. / сост. и </w:t>
      </w:r>
      <w:r>
        <w:rPr>
          <w:rFonts w:ascii="Times New Roman" w:hAnsi="Times New Roman"/>
          <w:sz w:val="26"/>
          <w:szCs w:val="26"/>
        </w:rPr>
        <w:t xml:space="preserve">подгот</w:t>
      </w:r>
      <w:r>
        <w:rPr>
          <w:rFonts w:ascii="Times New Roman" w:hAnsi="Times New Roman"/>
          <w:sz w:val="26"/>
          <w:szCs w:val="26"/>
        </w:rPr>
        <w:t xml:space="preserve">. к изд. ПКО «Картография» в 2001 г.; гл. ред. Н. Н. </w:t>
      </w:r>
      <w:r>
        <w:rPr>
          <w:rFonts w:ascii="Times New Roman" w:hAnsi="Times New Roman"/>
          <w:sz w:val="26"/>
          <w:szCs w:val="26"/>
        </w:rPr>
        <w:t xml:space="preserve">Полункина</w:t>
      </w:r>
      <w:r>
        <w:rPr>
          <w:rFonts w:ascii="Times New Roman" w:hAnsi="Times New Roman"/>
          <w:sz w:val="26"/>
          <w:szCs w:val="26"/>
        </w:rPr>
        <w:t xml:space="preserve">; ред. О. И. Иванцова, Н. Р. </w:t>
      </w:r>
      <w:r>
        <w:rPr>
          <w:rFonts w:ascii="Times New Roman" w:hAnsi="Times New Roman"/>
          <w:sz w:val="26"/>
          <w:szCs w:val="26"/>
        </w:rPr>
        <w:t xml:space="preserve">Монахова</w:t>
      </w:r>
      <w:r>
        <w:rPr>
          <w:rFonts w:ascii="Times New Roman" w:hAnsi="Times New Roman"/>
          <w:sz w:val="26"/>
          <w:szCs w:val="26"/>
        </w:rPr>
        <w:t xml:space="preserve">; рук. проекта М. Ю. Орлов. – 1 : 25 000 </w:t>
      </w:r>
      <w:r>
        <w:rPr>
          <w:rFonts w:ascii="Times New Roman" w:hAnsi="Times New Roman"/>
          <w:sz w:val="26"/>
          <w:szCs w:val="26"/>
        </w:rPr>
        <w:t xml:space="preserve">000</w:t>
      </w:r>
      <w:r>
        <w:rPr>
          <w:rFonts w:ascii="Times New Roman" w:hAnsi="Times New Roman"/>
          <w:sz w:val="26"/>
          <w:szCs w:val="26"/>
        </w:rPr>
        <w:t xml:space="preserve">; </w:t>
      </w:r>
      <w:r>
        <w:rPr>
          <w:rFonts w:ascii="Times New Roman" w:hAnsi="Times New Roman"/>
          <w:sz w:val="26"/>
          <w:szCs w:val="26"/>
        </w:rPr>
        <w:t xml:space="preserve">поликон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пр-ция</w:t>
      </w:r>
      <w:r>
        <w:rPr>
          <w:rFonts w:ascii="Times New Roman" w:hAnsi="Times New Roman"/>
          <w:sz w:val="26"/>
          <w:szCs w:val="26"/>
        </w:rPr>
        <w:t xml:space="preserve"> ЦНИИГАИК. – Москва : Картография, 2001. – 1 к. (2 л.): </w:t>
      </w:r>
      <w:r>
        <w:rPr>
          <w:rFonts w:ascii="Times New Roman" w:hAnsi="Times New Roman"/>
          <w:sz w:val="26"/>
          <w:szCs w:val="26"/>
        </w:rPr>
        <w:t xml:space="preserve">цв</w:t>
      </w:r>
      <w:r>
        <w:rPr>
          <w:rFonts w:ascii="Times New Roman" w:hAnsi="Times New Roman"/>
          <w:sz w:val="26"/>
          <w:szCs w:val="26"/>
        </w:rPr>
        <w:t xml:space="preserve">.; 98х71 см.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Европа. Государства Европы : [физическая карта] / сост. и </w:t>
      </w:r>
      <w:r>
        <w:rPr>
          <w:rFonts w:ascii="Times New Roman" w:hAnsi="Times New Roman"/>
          <w:sz w:val="26"/>
          <w:szCs w:val="26"/>
        </w:rPr>
        <w:t xml:space="preserve">подгот</w:t>
      </w:r>
      <w:r>
        <w:rPr>
          <w:rFonts w:ascii="Times New Roman" w:hAnsi="Times New Roman"/>
          <w:sz w:val="26"/>
          <w:szCs w:val="26"/>
        </w:rPr>
        <w:t xml:space="preserve">. к печати ПКО «Картография» в 1985 г.; ст. ред. Л. Н. Колосова; ред. Н. А. Дубовой. – </w:t>
      </w:r>
      <w:r>
        <w:rPr>
          <w:rFonts w:ascii="Times New Roman" w:hAnsi="Times New Roman"/>
          <w:sz w:val="26"/>
          <w:szCs w:val="26"/>
        </w:rPr>
        <w:t xml:space="preserve">Испр</w:t>
      </w:r>
      <w:r>
        <w:rPr>
          <w:rFonts w:ascii="Times New Roman" w:hAnsi="Times New Roman"/>
          <w:sz w:val="26"/>
          <w:szCs w:val="26"/>
        </w:rPr>
        <w:t xml:space="preserve">. в 2000 г. – 1 : 5000 000, 50 км в 1 см; </w:t>
      </w:r>
      <w:r>
        <w:rPr>
          <w:rFonts w:ascii="Times New Roman" w:hAnsi="Times New Roman"/>
          <w:sz w:val="26"/>
          <w:szCs w:val="26"/>
        </w:rPr>
        <w:t xml:space="preserve">пр-ция</w:t>
      </w:r>
      <w:r>
        <w:rPr>
          <w:rFonts w:ascii="Times New Roman" w:hAnsi="Times New Roman"/>
          <w:sz w:val="26"/>
          <w:szCs w:val="26"/>
        </w:rPr>
        <w:t xml:space="preserve"> норм. кон. </w:t>
      </w:r>
      <w:r>
        <w:rPr>
          <w:rFonts w:ascii="Times New Roman" w:hAnsi="Times New Roman"/>
          <w:sz w:val="26"/>
          <w:szCs w:val="26"/>
        </w:rPr>
        <w:t xml:space="preserve">равнопром</w:t>
      </w:r>
      <w:r>
        <w:rPr>
          <w:rFonts w:ascii="Times New Roman" w:hAnsi="Times New Roman"/>
          <w:sz w:val="26"/>
          <w:szCs w:val="26"/>
        </w:rPr>
        <w:t xml:space="preserve">. – Москва : </w:t>
      </w:r>
      <w:r>
        <w:rPr>
          <w:rFonts w:ascii="Times New Roman" w:hAnsi="Times New Roman"/>
          <w:sz w:val="26"/>
          <w:szCs w:val="26"/>
        </w:rPr>
        <w:t xml:space="preserve">Роскартография</w:t>
      </w:r>
      <w:r>
        <w:rPr>
          <w:rFonts w:ascii="Times New Roman" w:hAnsi="Times New Roman"/>
          <w:sz w:val="26"/>
          <w:szCs w:val="26"/>
        </w:rPr>
        <w:t xml:space="preserve">, 2000. – 1 к.: </w:t>
      </w:r>
      <w:r>
        <w:rPr>
          <w:rFonts w:ascii="Times New Roman" w:hAnsi="Times New Roman"/>
          <w:sz w:val="26"/>
          <w:szCs w:val="26"/>
        </w:rPr>
        <w:t xml:space="preserve">цв</w:t>
      </w:r>
      <w:r>
        <w:rPr>
          <w:rFonts w:ascii="Times New Roman" w:hAnsi="Times New Roman"/>
          <w:sz w:val="26"/>
          <w:szCs w:val="26"/>
        </w:rPr>
        <w:t xml:space="preserve">., табл.; 106х89 см.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Л.14 Библиографическая запись на электронные ресурсы в целом: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Художественная энциклопедия зарубежного классического искусства [Электронный ресурс]. – Электрон. текстовые, граф., </w:t>
      </w:r>
      <w:r>
        <w:rPr>
          <w:rFonts w:ascii="Times New Roman" w:hAnsi="Times New Roman"/>
          <w:sz w:val="26"/>
          <w:szCs w:val="26"/>
        </w:rPr>
        <w:t xml:space="preserve">зв</w:t>
      </w:r>
      <w:r>
        <w:rPr>
          <w:rFonts w:ascii="Times New Roman" w:hAnsi="Times New Roman"/>
          <w:sz w:val="26"/>
          <w:szCs w:val="26"/>
        </w:rPr>
        <w:t xml:space="preserve">. дан. и прикладная </w:t>
      </w:r>
      <w:r>
        <w:rPr>
          <w:rFonts w:ascii="Times New Roman" w:hAnsi="Times New Roman"/>
          <w:sz w:val="26"/>
          <w:szCs w:val="26"/>
        </w:rPr>
        <w:t xml:space="preserve">прогр</w:t>
      </w:r>
      <w:r>
        <w:rPr>
          <w:rFonts w:ascii="Times New Roman" w:hAnsi="Times New Roman"/>
          <w:sz w:val="26"/>
          <w:szCs w:val="26"/>
        </w:rPr>
        <w:t xml:space="preserve">. (546 Мб). – Москва : Большая Рос. </w:t>
      </w:r>
      <w:r>
        <w:rPr>
          <w:rFonts w:ascii="Times New Roman" w:hAnsi="Times New Roman"/>
          <w:sz w:val="26"/>
          <w:szCs w:val="26"/>
        </w:rPr>
        <w:t xml:space="preserve">энцикл</w:t>
      </w:r>
      <w:r>
        <w:rPr>
          <w:rFonts w:ascii="Times New Roman" w:hAnsi="Times New Roman"/>
          <w:sz w:val="26"/>
          <w:szCs w:val="26"/>
        </w:rPr>
        <w:t xml:space="preserve">., 1996. – 1 электрон. опт. диск (CD-ROM). – (Интерактивный мир). </w:t>
      </w:r>
      <w:r>
        <w:rPr>
          <w:rFonts w:ascii="Symbol" w:hAnsi="Symbol" w:eastAsia="Symbol" w:cs="Symbol"/>
          <w:sz w:val="26"/>
          <w:szCs w:val="26"/>
        </w:rPr>
        <w:t xml:space="preserve">−</w:t>
      </w:r>
      <w:r>
        <w:rPr>
          <w:rFonts w:ascii="Times New Roman" w:hAnsi="Times New Roman"/>
          <w:sz w:val="26"/>
          <w:szCs w:val="26"/>
        </w:rPr>
        <w:t xml:space="preserve"> Системные требования.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Образование : исследовано в мире [Электронный ресурс]. / под патронажем Рос. акад. образования,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науч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пед</w:t>
      </w:r>
      <w:r>
        <w:rPr>
          <w:rFonts w:ascii="Times New Roman" w:hAnsi="Times New Roman"/>
          <w:sz w:val="26"/>
          <w:szCs w:val="26"/>
        </w:rPr>
        <w:t xml:space="preserve">. б-ки. – Москва : OIM.RU, 2000-2001. – Режим доступа : </w:t>
      </w:r>
      <w:hyperlink r:id="rId16" w:tooltip="http://www.oim.ru" w:history="1">
        <w:r>
          <w:rPr>
            <w:rFonts w:ascii="Times New Roman" w:hAnsi="Times New Roman"/>
            <w:color w:val="0563c1"/>
            <w:sz w:val="26"/>
            <w:szCs w:val="26"/>
            <w:u w:val="single"/>
          </w:rPr>
          <w:t xml:space="preserve">http://www.oim.ru</w:t>
        </w:r>
      </w:hyperlink>
      <w:r>
        <w:rPr>
          <w:rFonts w:ascii="Times New Roman" w:hAnsi="Times New Roman"/>
          <w:sz w:val="26"/>
          <w:szCs w:val="26"/>
        </w:rPr>
        <w:t xml:space="preserve"> . – 10.02.2012.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КонсультантПлюс</w:t>
      </w:r>
      <w:r>
        <w:rPr>
          <w:rFonts w:ascii="Times New Roman" w:hAnsi="Times New Roman"/>
          <w:sz w:val="26"/>
          <w:szCs w:val="26"/>
        </w:rPr>
        <w:t xml:space="preserve"> : Высшая школа [Электронный ресурс].: учеб. пособие. – Электрон. текстовые дан. (400 Мб). – [Москва] : </w:t>
      </w:r>
      <w:r>
        <w:rPr>
          <w:rFonts w:ascii="Times New Roman" w:hAnsi="Times New Roman"/>
          <w:sz w:val="26"/>
          <w:szCs w:val="26"/>
        </w:rPr>
        <w:t xml:space="preserve">КонсультантПлюс</w:t>
      </w:r>
      <w:r>
        <w:rPr>
          <w:rFonts w:ascii="Times New Roman" w:hAnsi="Times New Roman"/>
          <w:sz w:val="26"/>
          <w:szCs w:val="26"/>
        </w:rPr>
        <w:t xml:space="preserve">, 2004-2005. – </w:t>
      </w:r>
      <w:r>
        <w:rPr>
          <w:rFonts w:ascii="Times New Roman" w:hAnsi="Times New Roman"/>
          <w:sz w:val="26"/>
          <w:szCs w:val="26"/>
        </w:rPr>
        <w:t xml:space="preserve">Вып</w:t>
      </w:r>
      <w:r>
        <w:rPr>
          <w:rFonts w:ascii="Times New Roman" w:hAnsi="Times New Roman"/>
          <w:sz w:val="26"/>
          <w:szCs w:val="26"/>
        </w:rPr>
        <w:t xml:space="preserve">. 4 : К осеннему семестру 2005. – 1 электрон. опт. диск (CDROM). </w:t>
      </w:r>
      <w:r>
        <w:rPr>
          <w:rFonts w:ascii="Symbol" w:hAnsi="Symbol" w:eastAsia="Symbol" w:cs="Symbol"/>
          <w:sz w:val="26"/>
          <w:szCs w:val="26"/>
        </w:rPr>
        <w:t xml:space="preserve">−</w:t>
      </w:r>
      <w:r>
        <w:rPr>
          <w:rFonts w:ascii="Times New Roman" w:hAnsi="Times New Roman"/>
          <w:sz w:val="26"/>
          <w:szCs w:val="26"/>
        </w:rPr>
        <w:t xml:space="preserve"> Системные требования.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Арбитражный процесс [Электронный ресурс].: учеб. для студентов </w:t>
      </w:r>
      <w:r>
        <w:rPr>
          <w:rFonts w:ascii="Times New Roman" w:hAnsi="Times New Roman"/>
          <w:sz w:val="26"/>
          <w:szCs w:val="26"/>
        </w:rPr>
        <w:t xml:space="preserve">юрид</w:t>
      </w:r>
      <w:r>
        <w:rPr>
          <w:rFonts w:ascii="Times New Roman" w:hAnsi="Times New Roman"/>
          <w:sz w:val="26"/>
          <w:szCs w:val="26"/>
        </w:rPr>
        <w:t xml:space="preserve">. вузов и факультетов / под ред. В. В. Яркова. – 2-е изд., </w:t>
      </w:r>
      <w:r>
        <w:rPr>
          <w:rFonts w:ascii="Times New Roman" w:hAnsi="Times New Roman"/>
          <w:sz w:val="26"/>
          <w:szCs w:val="26"/>
        </w:rPr>
        <w:t xml:space="preserve">перераб</w:t>
      </w:r>
      <w:r>
        <w:rPr>
          <w:rFonts w:ascii="Times New Roman" w:hAnsi="Times New Roman"/>
          <w:sz w:val="26"/>
          <w:szCs w:val="26"/>
        </w:rPr>
        <w:t xml:space="preserve">. и доп. – Москва : </w:t>
      </w:r>
      <w:r>
        <w:rPr>
          <w:rFonts w:ascii="Times New Roman" w:hAnsi="Times New Roman"/>
          <w:sz w:val="26"/>
          <w:szCs w:val="26"/>
        </w:rPr>
        <w:t xml:space="preserve">Волтерс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Клувер</w:t>
      </w:r>
      <w:r>
        <w:rPr>
          <w:rFonts w:ascii="Times New Roman" w:hAnsi="Times New Roman"/>
          <w:sz w:val="26"/>
          <w:szCs w:val="26"/>
        </w:rPr>
        <w:t xml:space="preserve">, 2003. – Режим доступа : </w:t>
      </w:r>
      <w:hyperlink r:id="rId17" w:tooltip="http://www.consultant.ru" w:history="1">
        <w:r>
          <w:rPr>
            <w:rFonts w:ascii="Times New Roman" w:hAnsi="Times New Roman"/>
            <w:color w:val="0563c1"/>
            <w:sz w:val="26"/>
            <w:szCs w:val="26"/>
            <w:u w:val="single"/>
          </w:rPr>
          <w:t xml:space="preserve">http://www.consultant.ru</w:t>
        </w:r>
      </w:hyperlink>
      <w:r>
        <w:rPr>
          <w:rFonts w:ascii="Times New Roman" w:hAnsi="Times New Roman"/>
          <w:sz w:val="26"/>
          <w:szCs w:val="26"/>
        </w:rPr>
        <w:t xml:space="preserve">.  – 10.02.2012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Библиографическая запись на составную часть документа (статья, раздел, глава из книг, газет, журналов, нормативный акт и др.) из электронных ресурсов приводится следующим образом: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</w:t>
      </w:r>
      <w:r>
        <w:rPr>
          <w:rFonts w:ascii="Times New Roman" w:hAnsi="Times New Roman"/>
          <w:sz w:val="26"/>
          <w:szCs w:val="26"/>
        </w:rPr>
        <w:t xml:space="preserve"> дополнительных мерах социальной поддержки отдельных категорий военнослужащих вооруженных сил Российской Федерации, проходящих военную службу по контракту за границей [Электронный ресурс].: постановление Правительства Рос. Федерации от 29.08.2007 № 543 // </w:t>
      </w:r>
      <w:r>
        <w:rPr>
          <w:rFonts w:ascii="Times New Roman" w:hAnsi="Times New Roman"/>
          <w:sz w:val="26"/>
          <w:szCs w:val="26"/>
        </w:rPr>
        <w:t xml:space="preserve">КонсультантПлюс</w:t>
      </w:r>
      <w:r>
        <w:rPr>
          <w:rFonts w:ascii="Times New Roman" w:hAnsi="Times New Roman"/>
          <w:sz w:val="26"/>
          <w:szCs w:val="26"/>
        </w:rPr>
        <w:t xml:space="preserve"> : Высшая Школа : правовые док. для студентов </w:t>
      </w:r>
      <w:r>
        <w:rPr>
          <w:rFonts w:ascii="Times New Roman" w:hAnsi="Times New Roman"/>
          <w:sz w:val="26"/>
          <w:szCs w:val="26"/>
        </w:rPr>
        <w:t xml:space="preserve">юрид</w:t>
      </w:r>
      <w:r>
        <w:rPr>
          <w:rFonts w:ascii="Times New Roman" w:hAnsi="Times New Roman"/>
          <w:sz w:val="26"/>
          <w:szCs w:val="26"/>
        </w:rPr>
        <w:t xml:space="preserve">., финансовых и </w:t>
      </w:r>
      <w:r>
        <w:rPr>
          <w:rFonts w:ascii="Times New Roman" w:hAnsi="Times New Roman"/>
          <w:sz w:val="26"/>
          <w:szCs w:val="26"/>
        </w:rPr>
        <w:t xml:space="preserve">экон</w:t>
      </w:r>
      <w:r>
        <w:rPr>
          <w:rFonts w:ascii="Times New Roman" w:hAnsi="Times New Roman"/>
          <w:sz w:val="26"/>
          <w:szCs w:val="26"/>
        </w:rPr>
        <w:t xml:space="preserve">. специальностей. – [Москва] : </w:t>
      </w:r>
      <w:r>
        <w:rPr>
          <w:rFonts w:ascii="Times New Roman" w:hAnsi="Times New Roman"/>
          <w:sz w:val="26"/>
          <w:szCs w:val="26"/>
        </w:rPr>
        <w:t xml:space="preserve">КонсультантПлюс</w:t>
      </w:r>
      <w:r>
        <w:rPr>
          <w:rFonts w:ascii="Times New Roman" w:hAnsi="Times New Roman"/>
          <w:sz w:val="26"/>
          <w:szCs w:val="26"/>
        </w:rPr>
        <w:t xml:space="preserve">, 2006. – </w:t>
      </w:r>
      <w:r>
        <w:rPr>
          <w:rFonts w:ascii="Times New Roman" w:hAnsi="Times New Roman"/>
          <w:sz w:val="26"/>
          <w:szCs w:val="26"/>
        </w:rPr>
        <w:t xml:space="preserve">Вып</w:t>
      </w:r>
      <w:r>
        <w:rPr>
          <w:rFonts w:ascii="Times New Roman" w:hAnsi="Times New Roman"/>
          <w:sz w:val="26"/>
          <w:szCs w:val="26"/>
        </w:rPr>
        <w:t xml:space="preserve">. 2 : Осень 2004. – 1 электрон. опт. диск (CD-ROM). 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</w:t>
      </w:r>
      <w:r>
        <w:rPr>
          <w:rFonts w:ascii="Times New Roman" w:hAnsi="Times New Roman"/>
          <w:sz w:val="26"/>
          <w:szCs w:val="26"/>
        </w:rPr>
        <w:t xml:space="preserve"> дополнительных мерах социальной поддержки отдельных категорий военнослужащих вооруженных сил Российской Федерации, проходящих военную службу по контракту за границей [Электронный ресурс].: постановление Правительства Рос. Федерации от 29.08.2007 № 543 // </w:t>
      </w:r>
      <w:r>
        <w:rPr>
          <w:rFonts w:ascii="Times New Roman" w:hAnsi="Times New Roman"/>
          <w:sz w:val="26"/>
          <w:szCs w:val="26"/>
        </w:rPr>
        <w:t xml:space="preserve">КонсультантПлюс</w:t>
      </w:r>
      <w:r>
        <w:rPr>
          <w:rFonts w:ascii="Times New Roman" w:hAnsi="Times New Roman"/>
          <w:sz w:val="26"/>
          <w:szCs w:val="26"/>
        </w:rPr>
        <w:t xml:space="preserve"> : справочная правовая система / </w:t>
      </w:r>
      <w:r>
        <w:rPr>
          <w:rFonts w:ascii="Times New Roman" w:hAnsi="Times New Roman"/>
          <w:sz w:val="26"/>
          <w:szCs w:val="26"/>
        </w:rPr>
        <w:t xml:space="preserve">разраб</w:t>
      </w:r>
      <w:r>
        <w:rPr>
          <w:rFonts w:ascii="Times New Roman" w:hAnsi="Times New Roman"/>
          <w:sz w:val="26"/>
          <w:szCs w:val="26"/>
        </w:rPr>
        <w:t xml:space="preserve">. НПО «</w:t>
      </w:r>
      <w:r>
        <w:rPr>
          <w:rFonts w:ascii="Times New Roman" w:hAnsi="Times New Roman"/>
          <w:sz w:val="26"/>
          <w:szCs w:val="26"/>
        </w:rPr>
        <w:t xml:space="preserve">Вычисл</w:t>
      </w:r>
      <w:r>
        <w:rPr>
          <w:rFonts w:ascii="Times New Roman" w:hAnsi="Times New Roman"/>
          <w:sz w:val="26"/>
          <w:szCs w:val="26"/>
        </w:rPr>
        <w:t xml:space="preserve">. математика и информатика». – Москва : Консультант Плюс, 1997-2008. – Режим доступа : </w:t>
      </w:r>
      <w:hyperlink r:id="rId18" w:tooltip="http://www.consultant.ru" w:history="1">
        <w:r>
          <w:rPr>
            <w:rFonts w:ascii="Times New Roman" w:hAnsi="Times New Roman"/>
            <w:color w:val="0563c1"/>
            <w:sz w:val="26"/>
            <w:szCs w:val="26"/>
            <w:u w:val="single"/>
          </w:rPr>
          <w:t xml:space="preserve">http://www.consultant.ru</w:t>
        </w:r>
      </w:hyperlink>
      <w:r>
        <w:rPr>
          <w:rFonts w:ascii="Times New Roman" w:hAnsi="Times New Roman"/>
          <w:sz w:val="26"/>
          <w:szCs w:val="26"/>
        </w:rPr>
        <w:t xml:space="preserve">.  – 10.02.2012.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Об информации, информационных технологиях и о защите информации [Электронный ресурс].: </w:t>
      </w:r>
      <w:r>
        <w:rPr>
          <w:rFonts w:ascii="Times New Roman" w:hAnsi="Times New Roman"/>
          <w:sz w:val="26"/>
          <w:szCs w:val="26"/>
        </w:rPr>
        <w:t xml:space="preserve">Федер</w:t>
      </w:r>
      <w:r>
        <w:rPr>
          <w:rFonts w:ascii="Times New Roman" w:hAnsi="Times New Roman"/>
          <w:sz w:val="26"/>
          <w:szCs w:val="26"/>
        </w:rPr>
        <w:t xml:space="preserve">. закон от 27 июля 2006 г. № 149-ФЗ // Система ГАРАНТ. Энциклопедия Российского законодательства / Центр </w:t>
      </w:r>
      <w:r>
        <w:rPr>
          <w:rFonts w:ascii="Times New Roman" w:hAnsi="Times New Roman"/>
          <w:sz w:val="26"/>
          <w:szCs w:val="26"/>
        </w:rPr>
        <w:t xml:space="preserve">информац</w:t>
      </w:r>
      <w:r>
        <w:rPr>
          <w:rFonts w:ascii="Times New Roman" w:hAnsi="Times New Roman"/>
          <w:sz w:val="26"/>
          <w:szCs w:val="26"/>
        </w:rPr>
        <w:t xml:space="preserve">. технологий </w:t>
      </w:r>
      <w:r>
        <w:rPr>
          <w:rFonts w:ascii="Times New Roman" w:hAnsi="Times New Roman"/>
          <w:sz w:val="26"/>
          <w:szCs w:val="26"/>
        </w:rPr>
        <w:t xml:space="preserve">Моск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ун-та. – Москва : ГАРАНТ-СЕРВИС, 2008. – Спец. </w:t>
      </w:r>
      <w:r>
        <w:rPr>
          <w:rFonts w:ascii="Times New Roman" w:hAnsi="Times New Roman"/>
          <w:sz w:val="26"/>
          <w:szCs w:val="26"/>
        </w:rPr>
        <w:t xml:space="preserve">вып</w:t>
      </w:r>
      <w:r>
        <w:rPr>
          <w:rFonts w:ascii="Times New Roman" w:hAnsi="Times New Roman"/>
          <w:sz w:val="26"/>
          <w:szCs w:val="26"/>
        </w:rPr>
        <w:t xml:space="preserve">. для студентов, аспирантов и преподавателей : Весенний семестр 2008. – 1 электрон. опт. диск (CD-ROM).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Об уточнении бюджета города Оренбурга на 2008 год [Электронный ресурс].: решение гор. Совета от 19.03.2008 № 518 // Система ГАРАНТ Платформа F 1 : Эксперт-Гарант-Максимум с региональным законодательством / Центр </w:t>
      </w:r>
      <w:r>
        <w:rPr>
          <w:rFonts w:ascii="Times New Roman" w:hAnsi="Times New Roman"/>
          <w:sz w:val="26"/>
          <w:szCs w:val="26"/>
        </w:rPr>
        <w:t xml:space="preserve">информац</w:t>
      </w:r>
      <w:r>
        <w:rPr>
          <w:rFonts w:ascii="Times New Roman" w:hAnsi="Times New Roman"/>
          <w:sz w:val="26"/>
          <w:szCs w:val="26"/>
        </w:rPr>
        <w:t xml:space="preserve">. технологий </w:t>
      </w:r>
      <w:r>
        <w:rPr>
          <w:rFonts w:ascii="Times New Roman" w:hAnsi="Times New Roman"/>
          <w:sz w:val="26"/>
          <w:szCs w:val="26"/>
        </w:rPr>
        <w:t xml:space="preserve">Моск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ун-та. – Электрон. дан. и </w:t>
      </w:r>
      <w:r>
        <w:rPr>
          <w:rFonts w:ascii="Times New Roman" w:hAnsi="Times New Roman"/>
          <w:sz w:val="26"/>
          <w:szCs w:val="26"/>
        </w:rPr>
        <w:t xml:space="preserve">прогр</w:t>
      </w:r>
      <w:r>
        <w:rPr>
          <w:rFonts w:ascii="Times New Roman" w:hAnsi="Times New Roman"/>
          <w:sz w:val="26"/>
          <w:szCs w:val="26"/>
        </w:rPr>
        <w:t xml:space="preserve">. – Москва : ГАРАНТ-СЕРВИС, 2008. – 1 электрон. опт. диск (CD-ROM).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Л.15 Библиографическая запись на составную часть документа (статья, раздел, глава из книг, газет, журналов, нормативный акт из сборников и др.):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Малый, А. Введение в законодательство Европейского сообщества / А. Малый // Институты Европейского союза : учеб. пособие / А. Малый, Дж. </w:t>
      </w:r>
      <w:r>
        <w:rPr>
          <w:rFonts w:ascii="Times New Roman" w:hAnsi="Times New Roman"/>
          <w:sz w:val="26"/>
          <w:szCs w:val="26"/>
        </w:rPr>
        <w:t xml:space="preserve">Кембелл</w:t>
      </w:r>
      <w:r>
        <w:rPr>
          <w:rFonts w:ascii="Times New Roman" w:hAnsi="Times New Roman"/>
          <w:sz w:val="26"/>
          <w:szCs w:val="26"/>
        </w:rPr>
        <w:t xml:space="preserve">, М. </w:t>
      </w:r>
      <w:r>
        <w:rPr>
          <w:rFonts w:ascii="Times New Roman" w:hAnsi="Times New Roman"/>
          <w:sz w:val="26"/>
          <w:szCs w:val="26"/>
        </w:rPr>
        <w:t xml:space="preserve">О’Нейл</w:t>
      </w:r>
      <w:r>
        <w:rPr>
          <w:rFonts w:ascii="Times New Roman" w:hAnsi="Times New Roman"/>
          <w:sz w:val="26"/>
          <w:szCs w:val="26"/>
        </w:rPr>
        <w:t xml:space="preserve">. – Архангельск, 2002. – Разд. 1. – С. 7-26.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Двинянинова</w:t>
      </w:r>
      <w:r>
        <w:rPr>
          <w:rFonts w:ascii="Times New Roman" w:hAnsi="Times New Roman"/>
          <w:sz w:val="26"/>
          <w:szCs w:val="26"/>
        </w:rPr>
        <w:t xml:space="preserve">, Г. С. Комплимент : Коммуникативный статус или стратегия в </w:t>
      </w:r>
      <w:r>
        <w:rPr>
          <w:rFonts w:ascii="Times New Roman" w:hAnsi="Times New Roman"/>
          <w:sz w:val="26"/>
          <w:szCs w:val="26"/>
        </w:rPr>
        <w:t xml:space="preserve">дискурсе</w:t>
      </w:r>
      <w:r>
        <w:rPr>
          <w:rFonts w:ascii="Times New Roman" w:hAnsi="Times New Roman"/>
          <w:sz w:val="26"/>
          <w:szCs w:val="26"/>
        </w:rPr>
        <w:t xml:space="preserve"> / Г. С. </w:t>
      </w:r>
      <w:r>
        <w:rPr>
          <w:rFonts w:ascii="Times New Roman" w:hAnsi="Times New Roman"/>
          <w:sz w:val="26"/>
          <w:szCs w:val="26"/>
        </w:rPr>
        <w:t xml:space="preserve">Двинянинова</w:t>
      </w:r>
      <w:r>
        <w:rPr>
          <w:rFonts w:ascii="Times New Roman" w:hAnsi="Times New Roman"/>
          <w:sz w:val="26"/>
          <w:szCs w:val="26"/>
        </w:rPr>
        <w:t xml:space="preserve"> // Социальная власть языка : сб. </w:t>
      </w:r>
      <w:r>
        <w:rPr>
          <w:rFonts w:ascii="Times New Roman" w:hAnsi="Times New Roman"/>
          <w:sz w:val="26"/>
          <w:szCs w:val="26"/>
        </w:rPr>
        <w:t xml:space="preserve">науч</w:t>
      </w:r>
      <w:r>
        <w:rPr>
          <w:rFonts w:ascii="Times New Roman" w:hAnsi="Times New Roman"/>
          <w:sz w:val="26"/>
          <w:szCs w:val="26"/>
        </w:rPr>
        <w:t xml:space="preserve">. тр. / Воронеж. </w:t>
      </w:r>
      <w:r>
        <w:rPr>
          <w:rFonts w:ascii="Times New Roman" w:hAnsi="Times New Roman"/>
          <w:sz w:val="26"/>
          <w:szCs w:val="26"/>
        </w:rPr>
        <w:t xml:space="preserve">межрегион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ин-т</w:t>
      </w:r>
      <w:r>
        <w:rPr>
          <w:rFonts w:ascii="Times New Roman" w:hAnsi="Times New Roman"/>
          <w:sz w:val="26"/>
          <w:szCs w:val="26"/>
        </w:rPr>
        <w:t xml:space="preserve"> обществ. наук, Воронеж. </w:t>
      </w:r>
      <w:r>
        <w:rPr>
          <w:rFonts w:ascii="Times New Roman" w:hAnsi="Times New Roman"/>
          <w:sz w:val="26"/>
          <w:szCs w:val="26"/>
        </w:rPr>
        <w:t xml:space="preserve">гос</w:t>
      </w:r>
      <w:r>
        <w:rPr>
          <w:rFonts w:ascii="Times New Roman" w:hAnsi="Times New Roman"/>
          <w:sz w:val="26"/>
          <w:szCs w:val="26"/>
        </w:rPr>
        <w:t xml:space="preserve">. ун-т, </w:t>
      </w:r>
      <w:r>
        <w:rPr>
          <w:rFonts w:ascii="Times New Roman" w:hAnsi="Times New Roman"/>
          <w:sz w:val="26"/>
          <w:szCs w:val="26"/>
        </w:rPr>
        <w:t xml:space="preserve">фак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романо-герман</w:t>
      </w:r>
      <w:r>
        <w:rPr>
          <w:rFonts w:ascii="Times New Roman" w:hAnsi="Times New Roman"/>
          <w:sz w:val="26"/>
          <w:szCs w:val="26"/>
        </w:rPr>
        <w:t xml:space="preserve">. истории. – Воронеж, 2001. – С. 101-106.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Об утверждении Федеральной целевой программы «Дети России» на 2003-2006 гг.: постановление Правительства Рос. Федерации от 03 окт. 2002 г. № 732 // Собр. законодательства Рос. Федерации. – 2002. – № 41. – С. 8795-8799 (ст. 3984).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Михайлов, С. А. Езда по-европейски: система платных дорог в России находится в начальной стадии развития / С. А. Михайлов // Независимая газ. – 2002. – 17 июня. – С. 4.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Долгополов, Н. По-прежнему под грифом «Секретно» / Н. Долгополов // Рос. газ. – 2006. – 11 янв. (№ 3). – С. 8-9. 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Боголюбов, А. Н. О вещественных резонансах в волноводе с неоднородным заполнением / А. Н. Боголюбов, А. Л. </w:t>
      </w:r>
      <w:r>
        <w:rPr>
          <w:rFonts w:ascii="Times New Roman" w:hAnsi="Times New Roman"/>
          <w:sz w:val="26"/>
          <w:szCs w:val="26"/>
        </w:rPr>
        <w:t xml:space="preserve">Делицын</w:t>
      </w:r>
      <w:r>
        <w:rPr>
          <w:rFonts w:ascii="Times New Roman" w:hAnsi="Times New Roman"/>
          <w:sz w:val="26"/>
          <w:szCs w:val="26"/>
        </w:rPr>
        <w:t xml:space="preserve">, M. Д. Малых // </w:t>
      </w:r>
      <w:r>
        <w:rPr>
          <w:rFonts w:ascii="Times New Roman" w:hAnsi="Times New Roman"/>
          <w:sz w:val="26"/>
          <w:szCs w:val="26"/>
        </w:rPr>
        <w:t xml:space="preserve">Вестн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 xml:space="preserve">Моск</w:t>
      </w:r>
      <w:r>
        <w:rPr>
          <w:rFonts w:ascii="Times New Roman" w:hAnsi="Times New Roman"/>
          <w:sz w:val="26"/>
          <w:szCs w:val="26"/>
        </w:rPr>
        <w:t xml:space="preserve">. ун-та. Сер. 3, Физика. Астрономия. – 2001. – № 5. – С. 23-25.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2250" w:leader="none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283" w:footer="283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mbria Math">
    <w:panose1 w:val="02000603000000000000"/>
  </w:font>
  <w:font w:name="Gungsuh">
    <w:panose1 w:val="02020603020101020101"/>
  </w:font>
  <w:font w:name="Courier New">
    <w:panose1 w:val="02070409020205020404"/>
  </w:font>
  <w:font w:name="Noto Sans Symbols"/>
  <w:font w:name="Georg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0" w:line="240" w:lineRule="auto"/>
      <w:tabs>
        <w:tab w:val="center" w:pos="4677" w:leader="none"/>
        <w:tab w:val="right" w:pos="9355" w:leader="none"/>
      </w:tabs>
      <w:rPr>
        <w:rFonts w:eastAsia="Calibri" w:cs="Calibri"/>
        <w:color w:val="000000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 xml:space="preserve">PAGE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 xml:space="preserve">2</w:t>
    </w:r>
    <w:r>
      <w:rPr>
        <w:rFonts w:eastAsia="Calibri" w:cs="Calibri"/>
        <w:color w:val="000000"/>
      </w:rPr>
      <w:fldChar w:fldCharType="end"/>
    </w:r>
    <w:r>
      <w:rPr>
        <w:rFonts w:eastAsia="Calibri" w:cs="Calibri"/>
        <w:color w:val="000000"/>
      </w:rPr>
    </w:r>
    <w:r>
      <w:rPr>
        <w:rFonts w:eastAsia="Calibri" w:cs="Calibri"/>
        <w:color w:val="000000"/>
      </w:rPr>
    </w:r>
  </w:p>
  <w:p>
    <w:pPr>
      <w:spacing w:after="0" w:line="240" w:lineRule="auto"/>
      <w:tabs>
        <w:tab w:val="center" w:pos="4677" w:leader="none"/>
        <w:tab w:val="right" w:pos="9355" w:leader="none"/>
      </w:tabs>
      <w:rPr>
        <w:rFonts w:eastAsia="Calibri" w:cs="Calibri"/>
        <w:color w:val="000000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>
      <w:rPr>
        <w:rFonts w:eastAsia="Calibri" w:cs="Calibri"/>
        <w:color w:val="000000"/>
      </w:rPr>
    </w:r>
    <w:r>
      <w:rPr>
        <w:rFonts w:eastAsia="Calibri" w:cs="Calibri"/>
        <w:color w:val="000000"/>
      </w:rPr>
    </w:r>
    <w:r>
      <w:rPr>
        <w:rFonts w:eastAsia="Calibri" w:cs="Calibri"/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214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2869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430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5029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646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7189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7909" w:hanging="360"/>
      </w:pPr>
      <w:rPr>
        <w:rFonts w:ascii="Noto Sans Symbols" w:hAnsi="Noto Sans Symbols" w:eastAsia="Noto Sans Symbols" w:cs="Noto Sans Symbols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ja-JP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2">
    <w:name w:val="Heading 1 Char"/>
    <w:basedOn w:val="863"/>
    <w:link w:val="857"/>
    <w:uiPriority w:val="9"/>
    <w:rPr>
      <w:rFonts w:ascii="Arial" w:hAnsi="Arial" w:eastAsia="Arial" w:cs="Arial"/>
      <w:sz w:val="40"/>
      <w:szCs w:val="40"/>
    </w:rPr>
  </w:style>
  <w:style w:type="character" w:styleId="693">
    <w:name w:val="Heading 2 Char"/>
    <w:basedOn w:val="863"/>
    <w:link w:val="858"/>
    <w:uiPriority w:val="9"/>
    <w:rPr>
      <w:rFonts w:ascii="Arial" w:hAnsi="Arial" w:eastAsia="Arial" w:cs="Arial"/>
      <w:sz w:val="34"/>
    </w:rPr>
  </w:style>
  <w:style w:type="character" w:styleId="694">
    <w:name w:val="Heading 3 Char"/>
    <w:basedOn w:val="863"/>
    <w:link w:val="859"/>
    <w:uiPriority w:val="9"/>
    <w:rPr>
      <w:rFonts w:ascii="Arial" w:hAnsi="Arial" w:eastAsia="Arial" w:cs="Arial"/>
      <w:sz w:val="30"/>
      <w:szCs w:val="30"/>
    </w:rPr>
  </w:style>
  <w:style w:type="character" w:styleId="695">
    <w:name w:val="Heading 4 Char"/>
    <w:basedOn w:val="863"/>
    <w:link w:val="860"/>
    <w:uiPriority w:val="9"/>
    <w:rPr>
      <w:rFonts w:ascii="Arial" w:hAnsi="Arial" w:eastAsia="Arial" w:cs="Arial"/>
      <w:b/>
      <w:bCs/>
      <w:sz w:val="26"/>
      <w:szCs w:val="26"/>
    </w:rPr>
  </w:style>
  <w:style w:type="character" w:styleId="696">
    <w:name w:val="Heading 5 Char"/>
    <w:basedOn w:val="863"/>
    <w:link w:val="861"/>
    <w:uiPriority w:val="9"/>
    <w:rPr>
      <w:rFonts w:ascii="Arial" w:hAnsi="Arial" w:eastAsia="Arial" w:cs="Arial"/>
      <w:b/>
      <w:bCs/>
      <w:sz w:val="24"/>
      <w:szCs w:val="24"/>
    </w:rPr>
  </w:style>
  <w:style w:type="character" w:styleId="697">
    <w:name w:val="Heading 6 Char"/>
    <w:basedOn w:val="863"/>
    <w:link w:val="862"/>
    <w:uiPriority w:val="9"/>
    <w:rPr>
      <w:rFonts w:ascii="Arial" w:hAnsi="Arial" w:eastAsia="Arial" w:cs="Arial"/>
      <w:b/>
      <w:bCs/>
      <w:sz w:val="22"/>
      <w:szCs w:val="22"/>
    </w:rPr>
  </w:style>
  <w:style w:type="paragraph" w:styleId="698">
    <w:name w:val="Heading 7"/>
    <w:basedOn w:val="856"/>
    <w:next w:val="856"/>
    <w:link w:val="69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9">
    <w:name w:val="Heading 7 Char"/>
    <w:basedOn w:val="863"/>
    <w:link w:val="69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0">
    <w:name w:val="Heading 8"/>
    <w:basedOn w:val="856"/>
    <w:next w:val="856"/>
    <w:link w:val="70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1">
    <w:name w:val="Heading 8 Char"/>
    <w:basedOn w:val="863"/>
    <w:link w:val="700"/>
    <w:uiPriority w:val="9"/>
    <w:rPr>
      <w:rFonts w:ascii="Arial" w:hAnsi="Arial" w:eastAsia="Arial" w:cs="Arial"/>
      <w:i/>
      <w:iCs/>
      <w:sz w:val="22"/>
      <w:szCs w:val="22"/>
    </w:rPr>
  </w:style>
  <w:style w:type="paragraph" w:styleId="702">
    <w:name w:val="Heading 9"/>
    <w:basedOn w:val="856"/>
    <w:next w:val="856"/>
    <w:link w:val="70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3">
    <w:name w:val="Heading 9 Char"/>
    <w:basedOn w:val="863"/>
    <w:link w:val="702"/>
    <w:uiPriority w:val="9"/>
    <w:rPr>
      <w:rFonts w:ascii="Arial" w:hAnsi="Arial" w:eastAsia="Arial" w:cs="Arial"/>
      <w:i/>
      <w:iCs/>
      <w:sz w:val="21"/>
      <w:szCs w:val="21"/>
    </w:rPr>
  </w:style>
  <w:style w:type="paragraph" w:styleId="704">
    <w:name w:val="No Spacing"/>
    <w:uiPriority w:val="1"/>
    <w:qFormat/>
    <w:pPr>
      <w:spacing w:before="0" w:after="0" w:line="240" w:lineRule="auto"/>
    </w:pPr>
  </w:style>
  <w:style w:type="character" w:styleId="705">
    <w:name w:val="Title Char"/>
    <w:basedOn w:val="863"/>
    <w:link w:val="866"/>
    <w:uiPriority w:val="10"/>
    <w:rPr>
      <w:sz w:val="48"/>
      <w:szCs w:val="48"/>
    </w:rPr>
  </w:style>
  <w:style w:type="character" w:styleId="706">
    <w:name w:val="Subtitle Char"/>
    <w:basedOn w:val="863"/>
    <w:link w:val="880"/>
    <w:uiPriority w:val="11"/>
    <w:rPr>
      <w:sz w:val="24"/>
      <w:szCs w:val="24"/>
    </w:rPr>
  </w:style>
  <w:style w:type="paragraph" w:styleId="707">
    <w:name w:val="Quote"/>
    <w:basedOn w:val="856"/>
    <w:next w:val="856"/>
    <w:link w:val="708"/>
    <w:uiPriority w:val="29"/>
    <w:qFormat/>
    <w:pPr>
      <w:ind w:left="720" w:right="720"/>
    </w:pPr>
    <w:rPr>
      <w:i/>
    </w:rPr>
  </w:style>
  <w:style w:type="character" w:styleId="708">
    <w:name w:val="Quote Char"/>
    <w:link w:val="707"/>
    <w:uiPriority w:val="29"/>
    <w:rPr>
      <w:i/>
    </w:rPr>
  </w:style>
  <w:style w:type="paragraph" w:styleId="709">
    <w:name w:val="Intense Quote"/>
    <w:basedOn w:val="856"/>
    <w:next w:val="856"/>
    <w:link w:val="71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0">
    <w:name w:val="Intense Quote Char"/>
    <w:link w:val="709"/>
    <w:uiPriority w:val="30"/>
    <w:rPr>
      <w:i/>
    </w:rPr>
  </w:style>
  <w:style w:type="character" w:styleId="711">
    <w:name w:val="Header Char"/>
    <w:basedOn w:val="863"/>
    <w:link w:val="869"/>
    <w:uiPriority w:val="99"/>
  </w:style>
  <w:style w:type="character" w:styleId="712">
    <w:name w:val="Footer Char"/>
    <w:basedOn w:val="863"/>
    <w:link w:val="871"/>
    <w:uiPriority w:val="99"/>
  </w:style>
  <w:style w:type="paragraph" w:styleId="713">
    <w:name w:val="Caption"/>
    <w:basedOn w:val="856"/>
    <w:next w:val="85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4">
    <w:name w:val="Caption Char"/>
    <w:basedOn w:val="713"/>
    <w:link w:val="871"/>
    <w:uiPriority w:val="99"/>
  </w:style>
  <w:style w:type="table" w:styleId="715">
    <w:name w:val="Table Grid Light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6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9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1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3">
    <w:name w:val="Grid Table 4 - Accent 1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4">
    <w:name w:val="Grid Table 4 - Accent 2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5">
    <w:name w:val="Grid Table 4 - Accent 3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6">
    <w:name w:val="Grid Table 4 - Accent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7">
    <w:name w:val="Grid Table 4 - Accent 5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8">
    <w:name w:val="Grid Table 4 - Accent 6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9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3">
    <w:name w:val="Grid Table 5 Dark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6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7">
    <w:name w:val="Grid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8">
    <w:name w:val="Grid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9">
    <w:name w:val="Grid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0">
    <w:name w:val="Grid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1">
    <w:name w:val="Grid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8">
    <w:name w:val="List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9">
    <w:name w:val="List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0">
    <w:name w:val="List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1">
    <w:name w:val="List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2">
    <w:name w:val="List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3">
    <w:name w:val="List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6">
    <w:name w:val="List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14">
    <w:name w:val="List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5">
    <w:name w:val="List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6">
    <w:name w:val="List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7">
    <w:name w:val="List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18">
    <w:name w:val="List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9">
    <w:name w:val="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1">
    <w:name w:val="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2">
    <w:name w:val="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3">
    <w:name w:val="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4">
    <w:name w:val="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25">
    <w:name w:val="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6">
    <w:name w:val="Bordered &amp; 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8">
    <w:name w:val="Bordered &amp; 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9">
    <w:name w:val="Bordered &amp; 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0">
    <w:name w:val="Bordered &amp; 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1">
    <w:name w:val="Bordered &amp; 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2">
    <w:name w:val="Bordered &amp; 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3">
    <w:name w:val="Bordered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0">
    <w:name w:val="footnote text"/>
    <w:basedOn w:val="856"/>
    <w:link w:val="841"/>
    <w:uiPriority w:val="99"/>
    <w:semiHidden/>
    <w:unhideWhenUsed/>
    <w:pPr>
      <w:spacing w:after="40" w:line="240" w:lineRule="auto"/>
    </w:pPr>
    <w:rPr>
      <w:sz w:val="18"/>
    </w:rPr>
  </w:style>
  <w:style w:type="character" w:styleId="841">
    <w:name w:val="Footnote Text Char"/>
    <w:link w:val="840"/>
    <w:uiPriority w:val="99"/>
    <w:rPr>
      <w:sz w:val="18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basedOn w:val="863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  <w:qFormat/>
    <w:rPr>
      <w:rFonts w:eastAsia="Times New Roman" w:cs="Times New Roman"/>
      <w:lang w:eastAsia="ru-RU"/>
    </w:rPr>
  </w:style>
  <w:style w:type="paragraph" w:styleId="857">
    <w:name w:val="Heading 1"/>
    <w:basedOn w:val="856"/>
    <w:next w:val="856"/>
    <w:uiPriority w:val="9"/>
    <w:qFormat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858">
    <w:name w:val="Heading 2"/>
    <w:basedOn w:val="856"/>
    <w:next w:val="856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59">
    <w:name w:val="Heading 3"/>
    <w:basedOn w:val="856"/>
    <w:next w:val="856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60">
    <w:name w:val="Heading 4"/>
    <w:basedOn w:val="856"/>
    <w:next w:val="856"/>
    <w:uiPriority w:val="9"/>
    <w:semiHidden/>
    <w:unhideWhenUsed/>
    <w:qFormat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861">
    <w:name w:val="Heading 5"/>
    <w:basedOn w:val="856"/>
    <w:next w:val="856"/>
    <w:uiPriority w:val="9"/>
    <w:semiHidden/>
    <w:unhideWhenUsed/>
    <w:qFormat/>
    <w:pPr>
      <w:keepLines/>
      <w:keepNext/>
      <w:spacing w:before="220" w:after="40"/>
      <w:outlineLvl w:val="4"/>
    </w:pPr>
    <w:rPr>
      <w:b/>
    </w:rPr>
  </w:style>
  <w:style w:type="paragraph" w:styleId="862">
    <w:name w:val="Heading 6"/>
    <w:basedOn w:val="856"/>
    <w:next w:val="856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63" w:default="1">
    <w:name w:val="Default Paragraph Font"/>
    <w:uiPriority w:val="1"/>
    <w:semiHidden/>
    <w:unhideWhenUsed/>
  </w:style>
  <w:style w:type="table" w:styleId="864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5" w:default="1">
    <w:name w:val="No List"/>
    <w:uiPriority w:val="99"/>
    <w:semiHidden/>
    <w:unhideWhenUsed/>
  </w:style>
  <w:style w:type="paragraph" w:styleId="866">
    <w:name w:val="Title"/>
    <w:basedOn w:val="856"/>
    <w:next w:val="856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character" w:styleId="867">
    <w:name w:val="FollowedHyperlink"/>
    <w:basedOn w:val="863"/>
    <w:uiPriority w:val="99"/>
    <w:semiHidden/>
    <w:unhideWhenUsed/>
    <w:rPr>
      <w:rFonts w:hint="default" w:ascii="Times New Roman" w:hAnsi="Times New Roman" w:cs="Times New Roman"/>
      <w:color w:val="800080"/>
      <w:u w:val="single"/>
    </w:rPr>
  </w:style>
  <w:style w:type="character" w:styleId="868">
    <w:name w:val="footnote reference"/>
    <w:basedOn w:val="863"/>
    <w:uiPriority w:val="99"/>
    <w:semiHidden/>
    <w:unhideWhenUsed/>
    <w:rPr>
      <w:rFonts w:hint="default" w:ascii="Times New Roman" w:hAnsi="Times New Roman" w:cs="Times New Roman"/>
      <w:vertAlign w:val="superscript"/>
    </w:rPr>
  </w:style>
  <w:style w:type="paragraph" w:styleId="869">
    <w:name w:val="Header"/>
    <w:basedOn w:val="856"/>
    <w:link w:val="87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0" w:customStyle="1">
    <w:name w:val="Верхний колонтитул Знак"/>
    <w:basedOn w:val="863"/>
    <w:link w:val="869"/>
    <w:uiPriority w:val="99"/>
    <w:rPr>
      <w:rFonts w:ascii="Calibri" w:hAnsi="Calibri" w:eastAsia="Times New Roman" w:cs="Times New Roman"/>
      <w:lang w:eastAsia="ru-RU"/>
    </w:rPr>
  </w:style>
  <w:style w:type="paragraph" w:styleId="871">
    <w:name w:val="Footer"/>
    <w:basedOn w:val="856"/>
    <w:link w:val="87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2" w:customStyle="1">
    <w:name w:val="Нижний колонтитул Знак"/>
    <w:basedOn w:val="863"/>
    <w:link w:val="871"/>
    <w:uiPriority w:val="99"/>
    <w:rPr>
      <w:rFonts w:ascii="Calibri" w:hAnsi="Calibri" w:eastAsia="Times New Roman" w:cs="Times New Roman"/>
      <w:lang w:eastAsia="ru-RU"/>
    </w:rPr>
  </w:style>
  <w:style w:type="paragraph" w:styleId="873" w:customStyle="1">
    <w:name w:val="formattext"/>
    <w:basedOn w:val="85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874">
    <w:name w:val="List Paragraph"/>
    <w:basedOn w:val="856"/>
    <w:uiPriority w:val="34"/>
    <w:qFormat/>
    <w:pPr>
      <w:contextualSpacing/>
      <w:ind w:left="720"/>
    </w:pPr>
  </w:style>
  <w:style w:type="paragraph" w:styleId="875" w:customStyle="1">
    <w:name w:val="dt-p"/>
    <w:basedOn w:val="85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876">
    <w:name w:val="Placeholder Text"/>
    <w:basedOn w:val="863"/>
    <w:uiPriority w:val="99"/>
    <w:semiHidden/>
    <w:rPr>
      <w:color w:val="808080"/>
    </w:rPr>
  </w:style>
  <w:style w:type="table" w:styleId="877">
    <w:name w:val="Table Grid"/>
    <w:basedOn w:val="864"/>
    <w:uiPriority w:val="3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878">
    <w:name w:val="Hyperlink"/>
    <w:basedOn w:val="863"/>
    <w:uiPriority w:val="99"/>
    <w:unhideWhenUsed/>
    <w:rPr>
      <w:color w:val="0563c1" w:themeColor="hyperlink"/>
      <w:u w:val="single"/>
    </w:rPr>
  </w:style>
  <w:style w:type="character" w:styleId="879" w:customStyle="1">
    <w:name w:val="Unresolved Mention"/>
    <w:basedOn w:val="863"/>
    <w:uiPriority w:val="99"/>
    <w:semiHidden/>
    <w:unhideWhenUsed/>
    <w:rPr>
      <w:color w:val="605e5c"/>
      <w:shd w:val="clear" w:color="auto" w:fill="e1dfdd"/>
    </w:rPr>
  </w:style>
  <w:style w:type="paragraph" w:styleId="880">
    <w:name w:val="Subtitle"/>
    <w:basedOn w:val="856"/>
    <w:next w:val="856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881" w:customStyle="1">
    <w:name w:val="StGen0"/>
    <w:basedOn w:val="864"/>
    <w:tblPr>
      <w:tblStyleRowBandSize w:val="1"/>
      <w:tblStyleColBandSize w:val="1"/>
      <w:tblInd w:w="0" w:type="dxa"/>
      <w:tblCellMar>
        <w:left w:w="115" w:type="dxa"/>
        <w:top w:w="0" w:type="dxa"/>
        <w:right w:w="115" w:type="dxa"/>
        <w:bottom w:w="0" w:type="dxa"/>
      </w:tblCellMar>
    </w:tblPr>
  </w:style>
  <w:style w:type="table" w:styleId="882" w:customStyle="1">
    <w:name w:val="StGen1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83" w:customStyle="1">
    <w:name w:val="StGen2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84" w:customStyle="1">
    <w:name w:val="StGen3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85" w:customStyle="1">
    <w:name w:val="StGen4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86" w:customStyle="1">
    <w:name w:val="StGen5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87" w:customStyle="1">
    <w:name w:val="StGen6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88" w:customStyle="1">
    <w:name w:val="StGen7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89" w:customStyle="1">
    <w:name w:val="StGen8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90" w:customStyle="1">
    <w:name w:val="StGen9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891" w:customStyle="1">
    <w:name w:val="StGen10"/>
    <w:basedOn w:val="8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://www.oim.ru" TargetMode="External"/><Relationship Id="rId17" Type="http://schemas.openxmlformats.org/officeDocument/2006/relationships/hyperlink" Target="http://www.consultant.ru" TargetMode="External"/><Relationship Id="rId18" Type="http://schemas.openxmlformats.org/officeDocument/2006/relationships/hyperlink" Target="http://www.consultant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fantom 777</cp:lastModifiedBy>
  <cp:revision>6</cp:revision>
  <dcterms:created xsi:type="dcterms:W3CDTF">2023-09-08T16:09:00Z</dcterms:created>
  <dcterms:modified xsi:type="dcterms:W3CDTF">2025-11-28T22:46:56Z</dcterms:modified>
</cp:coreProperties>
</file>