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Раздел первый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Компонент-текст позволяет добавлять текст на страницу и форматировать его с помощью стилей, заданных в теме. Панель инструментов форматирования недоступна при редактировании содержимого, поэтому невозможно перезаписать выбранный стиль пользовательским форматированием.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71850" cy="3438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438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пример рисунка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полезно, если используется стандартное форматирование для таких элементов, как заголовки. Можно обновить стили, определенные в теме, и автоматически обновить связанный текст на сайте без перезаписи формата.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Подраздел первый тест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пример описания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Выводы исследования: лонгриды присутствуют в изданиях разных типов: от ежедневных газет − до нишевых новостных сайтов. Они посвящены, как правило, описанию нового явления; имеют объем от 2 до 4 тыс. слов и построены по композиционной схеме чередования примеров и обобщений.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@Aspect</w:t>
        <w:br/>
        <w:t>@Component</w:t>
        <w:br/>
        <w:t>public class LoggingAspect {</w:t>
        <w:br/>
        <w:br/>
        <w:t xml:space="preserve">    @Around("execution(* com.example.service.MyService.*(..))")</w:t>
        <w:br/>
        <w:t xml:space="preserve">    public Object logExecutionTime(ProceedingJoinPoint joinPoint) throws Throwable {</w:t>
        <w:br/>
        <w:t xml:space="preserve">        long start = System.currentTimeMillis();</w:t>
        <w:br/>
        <w:br/>
        <w:t xml:space="preserve">        Object result = joinPoint.proceed(); // Execute the original method</w:t>
        <w:br/>
        <w:br/>
        <w:t xml:space="preserve">        long executionTime = System.currentTimeMillis() - start;</w:t>
        <w:br/>
        <w:t xml:space="preserve">        System.out.println(joinPoint.getSignature() + " executed in " + executionTime + "ms");</w:t>
        <w:br/>
        <w:br/>
        <w:t xml:space="preserve">        return result;</w:t>
        <w:br/>
        <w:t xml:space="preserve">    }</w:t>
        <w:br/>
        <w:t>}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пример аспекта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первый элемент;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второй элемент;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третий элемент.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sSup>
                  <m:e>
                    <m:r>
                      <m:t>30</m:t>
                    </m:r>
                  </m:e>
                  <m:sup>
                    <m:r>
                      <m:t>2</m:t>
                    </m:r>
                  </m:sup>
                </m:sSup>
                <m:r>
                  <m:t>−30=5−10x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−3−10y</m:t>
                    </m:r>
                  </m:den>
                </m:f>
                <m:r>
                  <m:t>*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подраздел второй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которыми в журналистской среде закрепилось название «длинные тексты» (англ. – long forms) или лонгриды (от англ. − long read – материал, предназначенный для длительного прочтения, в отличие от маленькой заметки).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подраздел третий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 все большем количестве российских изданий − как печатных, так и онлайновых − появляются объемные материалы особого типа, за которыми в журналистской среде закрепилось название «длинные тексты» (англ. – long forms) или лонгриды (от англ. − long read – материал, предназначенный для длительного прочтения, в отличие от маленькой заметки).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