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Reaction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Reagents</w:t>
            </w:r>
          </w:p>
        </w:tc>
        <w:tc>
          <w:tcPr>
            <w:tcW w:type="dxa" w:w="1728"/>
          </w:tcPr>
          <w:p>
            <w:r>
              <w:t>equiv.</w:t>
            </w:r>
          </w:p>
        </w:tc>
        <w:tc>
          <w:tcPr>
            <w:tcW w:type="dxa" w:w="1728"/>
          </w:tcPr>
          <w:p>
            <w:r>
              <w:t>MW, g/mol</w:t>
            </w:r>
          </w:p>
        </w:tc>
        <w:tc>
          <w:tcPr>
            <w:tcW w:type="dxa" w:w="1728"/>
          </w:tcPr>
          <w:p>
            <w:r>
              <w:t>Density, g/ml</w:t>
            </w:r>
          </w:p>
        </w:tc>
        <w:tc>
          <w:tcPr>
            <w:tcW w:type="dxa" w:w="1728"/>
          </w:tcPr>
          <w:p>
            <w:r>
              <w:t>Concentration, M</w:t>
            </w:r>
          </w:p>
        </w:tc>
      </w:tr>
      <w:tr>
        <w:tc>
          <w:tcPr>
            <w:tcW w:type="dxa" w:w="1728"/>
          </w:tcPr>
          <w:p>
            <w:r>
              <w:t>Reagent_1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