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[{nmr.1h.label}]</w:t>
      </w:r>
      <w:r>
        <w:rPr>
          <w:rFonts w:ascii="Arial" w:hAnsi="Arial"/>
          <w:sz w:val="20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[{nmr.13c.label}]</w:t>
      </w:r>
      <w:r>
        <w:rPr>
          <w:rFonts w:ascii="Arial" w:hAnsi="Arial"/>
          <w:sz w:val="20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[{hrms.label}]</w:t>
      </w:r>
      <w:r>
        <w:rPr>
          <w:rFonts w:ascii="Arial" w:hAnsi="Arial"/>
          <w:sz w:val="20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[{anal.label}]</w:t>
      </w:r>
      <w:r>
        <w:rPr>
          <w:rFonts w:ascii="Arial" w:hAnsi="Arial"/>
          <w:sz w:val="20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[{ir.label}]</w:t>
      </w:r>
      <w:r>
        <w:rPr>
          <w:rFonts w:ascii="Arial" w:hAnsi="Arial"/>
          <w:sz w:val="20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{Product.support.warning}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{Product.nmr.1h.picture}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{Product.nmr.13c.picture}</w:t>
      </w:r>
    </w:p>
    <w:sectPr w:rsidR="004A2EE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Times New Roman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Wiley - Archiv der Pharmazie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