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560" w:line="269" w:lineRule="auto"/>
      </w:pPr>
      <w:r>
        <w:rPr>
          <w:rFonts w:ascii="Arial" w:hAnsi="Arial" w:eastAsia="Arial"/>
          <w:b/>
          <w:i w:val="0"/>
          <w:color w:val="C82020"/>
          <w:sz w:val="20"/>
        </w:rPr>
        <w:t>СПЕКТР МЕТАЛЛА</w:t>
      </w:r>
    </w:p>
    <w:p>
      <w:pPr>
        <w:keepNext/>
        <w:spacing w:before="0" w:after="160" w:line="269" w:lineRule="auto"/>
      </w:pPr>
      <w:r>
        <w:rPr>
          <w:rFonts w:ascii="Arial" w:hAnsi="Arial" w:eastAsia="Arial"/>
          <w:b/>
          <w:i w:val="0"/>
          <w:color w:val="17191F"/>
          <w:sz w:val="56"/>
        </w:rPr>
        <w:t>Результаты рекламы</w:t>
        <w:br/>
        <w:t>и точки роста</w:t>
      </w:r>
    </w:p>
    <w:p>
      <w:pPr>
        <w:keepNext w:val="0"/>
        <w:spacing w:before="0" w:after="60" w:line="269" w:lineRule="auto"/>
      </w:pPr>
      <w:r>
        <w:rPr>
          <w:rFonts w:ascii="Arial" w:hAnsi="Arial" w:eastAsia="Arial"/>
          <w:b/>
          <w:i w:val="0"/>
          <w:color w:val="626773"/>
          <w:sz w:val="25"/>
        </w:rPr>
        <w:t>Профнастил и металлочерепица  •  Омск и Омская область</w:t>
      </w:r>
    </w:p>
    <w:p>
      <w:pPr>
        <w:keepNext w:val="0"/>
        <w:spacing w:before="0" w:after="60" w:line="269" w:lineRule="auto"/>
      </w:pPr>
      <w:r>
        <w:rPr>
          <w:rFonts w:ascii="Arial" w:hAnsi="Arial" w:eastAsia="Arial"/>
          <w:b w:val="0"/>
          <w:i w:val="0"/>
          <w:color w:val="626773"/>
          <w:sz w:val="20"/>
        </w:rPr>
        <w:t>Срез за 29 июля - 5 августа 2026 года</w:t>
      </w:r>
    </w:p>
    <w:p>
      <w:pPr>
        <w:keepNext w:val="0"/>
        <w:spacing w:before="0" w:after="440" w:line="269" w:lineRule="auto"/>
      </w:pPr>
      <w:r>
        <w:rPr>
          <w:rFonts w:ascii="Arial" w:hAnsi="Arial" w:eastAsia="Arial"/>
          <w:b/>
          <w:i w:val="0"/>
          <w:color w:val="C82020"/>
          <w:sz w:val="18"/>
        </w:rPr>
        <w:t>Подготовлено MENTORI  •  mentori.tech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17191F"/>
              <w:left w:val="single" w:sz="4" w:color="292C33"/>
              <w:bottom w:val="single" w:sz="4" w:color="17191F"/>
              <w:right w:val="single" w:sz="4" w:color="292C33"/>
            </w:tcBorders>
          </w:tcPr>
          <w:p>
            <w:pPr>
              <w:keepNext w:val="0"/>
              <w:spacing w:before="0" w:after="20" w:line="26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3 479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D4D6DB"/>
                <w:sz w:val="16"/>
              </w:rPr>
              <w:t>показов</w:t>
            </w:r>
          </w:p>
        </w:tc>
        <w:tc>
          <w:tcPr>
            <w:tcW w:type="dxa" w:w="234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17191F"/>
              <w:left w:val="single" w:sz="4" w:color="292C33"/>
              <w:bottom w:val="single" w:sz="4" w:color="17191F"/>
              <w:right w:val="single" w:sz="4" w:color="292C33"/>
            </w:tcBorders>
          </w:tcPr>
          <w:p>
            <w:pPr>
              <w:keepNext w:val="0"/>
              <w:spacing w:before="0" w:after="20" w:line="26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387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D4D6DB"/>
                <w:sz w:val="16"/>
              </w:rPr>
              <w:t>переходов</w:t>
            </w:r>
          </w:p>
        </w:tc>
        <w:tc>
          <w:tcPr>
            <w:tcW w:type="dxa" w:w="234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17191F"/>
              <w:left w:val="single" w:sz="4" w:color="292C33"/>
              <w:bottom w:val="single" w:sz="4" w:color="17191F"/>
              <w:right w:val="single" w:sz="4" w:color="292C33"/>
            </w:tcBorders>
          </w:tcPr>
          <w:p>
            <w:pPr>
              <w:keepNext w:val="0"/>
              <w:spacing w:before="0" w:after="20" w:line="26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6 756 ₽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D4D6DB"/>
                <w:sz w:val="16"/>
              </w:rPr>
              <w:t>расход с НДС</w:t>
            </w:r>
          </w:p>
        </w:tc>
        <w:tc>
          <w:tcPr>
            <w:tcW w:type="dxa" w:w="234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17191F"/>
              <w:left w:val="single" w:sz="4" w:color="292C33"/>
              <w:bottom w:val="single" w:sz="4" w:color="17191F"/>
              <w:right w:val="single" w:sz="4" w:color="292C33"/>
            </w:tcBorders>
          </w:tcPr>
          <w:p>
            <w:pPr>
              <w:keepNext w:val="0"/>
              <w:spacing w:before="0" w:after="20" w:line="26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12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D4D6DB"/>
                <w:sz w:val="16"/>
              </w:rPr>
              <w:t>целевых действий</w:t>
            </w:r>
          </w:p>
        </w:tc>
      </w:tr>
    </w:tbl>
    <w:p>
      <w:pPr>
        <w:keepNext w:val="0"/>
        <w:spacing w:before="360" w:after="160" w:line="269" w:lineRule="auto"/>
      </w:pPr>
      <w:r>
        <w:rPr>
          <w:rFonts w:ascii="Arial" w:hAnsi="Arial" w:eastAsia="Arial"/>
          <w:b/>
          <w:i w:val="0"/>
          <w:color w:val="17191F"/>
          <w:sz w:val="28"/>
        </w:rPr>
        <w:t>Главный вывод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shd w:fill="EAF5EF"/>
            <w:tcBorders>
              <w:top w:val="single" w:sz="4" w:color="EAF5EF"/>
              <w:left w:val="single" w:sz="22" w:color="2E7D50"/>
              <w:bottom w:val="single" w:sz="4" w:color="EAF5EF"/>
              <w:right w:val="single" w:sz="4" w:color="EAF5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2E7D50"/>
                <w:sz w:val="20"/>
              </w:rPr>
              <w:t xml:space="preserve">Результат  </w:t>
            </w:r>
            <w:r>
              <w:rPr>
                <w:rFonts w:ascii="Arial" w:hAnsi="Arial" w:eastAsia="Arial"/>
                <w:b w:val="0"/>
                <w:i w:val="0"/>
                <w:color w:val="17191F"/>
                <w:sz w:val="20"/>
              </w:rPr>
              <w:t>Обе кампании приводят целевые действия по близкой стоимости. Профнастил обеспечивает основной объём трафика, а металлочерепица заметно улучшила кликабельность к концу периода.</w:t>
            </w:r>
          </w:p>
        </w:tc>
      </w:tr>
    </w:tbl>
    <w:p>
      <w:pPr>
        <w:spacing w:after="0"/>
      </w:pP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Средняя стоимость перехода составила 14,31 ₽ при установленном пределе 70 ₽.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Зафиксировано 8 кликов по телефону, 2 перехода в WhatsApp и 2 отправленные формы.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4-5 августа: 1 665 показов, 186 переходов и 7 целевых действий.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Расход за период: 5 537,63 ₽ без НДС или 6 755,91 ₽ с НДС 22%.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Нецелевые переходы обнаружены и собраны в отдельный список для дополнительной очистки.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151 формулировка связана с ценами, выбором, размерами, цветами и профилями - это отдельная возможность для SEO-продвижения.</w:t>
      </w:r>
    </w:p>
    <w:p>
      <w:pPr>
        <w:keepNext w:val="0"/>
        <w:spacing w:before="240" w:after="140" w:line="269" w:lineRule="auto"/>
      </w:pPr>
      <w:r>
        <w:rPr>
          <w:rFonts w:ascii="Arial" w:hAnsi="Arial" w:eastAsia="Arial"/>
          <w:b/>
          <w:i w:val="0"/>
          <w:color w:val="17191F"/>
          <w:sz w:val="28"/>
        </w:rPr>
        <w:t>План бюджета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shd w:fill="FBEAEA"/>
            <w:tcBorders>
              <w:top w:val="single" w:sz="4" w:color="FBEAEA"/>
              <w:left w:val="single" w:sz="22" w:color="C82020"/>
              <w:bottom w:val="single" w:sz="4" w:color="FBEAEA"/>
              <w:right w:val="single" w:sz="4" w:color="FB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C82020"/>
                <w:sz w:val="20"/>
              </w:rPr>
              <w:t xml:space="preserve">30 000 ₽  </w:t>
            </w:r>
            <w:r>
              <w:rPr>
                <w:rFonts w:ascii="Arial" w:hAnsi="Arial" w:eastAsia="Arial"/>
                <w:b w:val="0"/>
                <w:i w:val="0"/>
                <w:color w:val="17191F"/>
                <w:sz w:val="20"/>
              </w:rPr>
              <w:t>10 000 ₽ - контролируемый тест и очистка трафика. Оставшиеся 20 000 ₽ - усиление направлений, которые подтверждаются качественными обращениями.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Результаты рекламных кампаний</w:t>
      </w:r>
    </w:p>
    <w:p>
      <w:pPr>
        <w:keepNext w:val="0"/>
        <w:spacing w:before="0" w:after="200" w:line="269" w:lineRule="auto"/>
      </w:pPr>
      <w:r>
        <w:rPr>
          <w:rFonts w:ascii="Arial" w:hAnsi="Arial" w:eastAsia="Arial"/>
          <w:b w:val="0"/>
          <w:i w:val="0"/>
          <w:color w:val="626773"/>
          <w:sz w:val="18"/>
        </w:rPr>
        <w:t>Целевое действие - отправка формы или попытка связаться с компанией: клик по телефону либо переход в мессенджер. Это важный шаг к заявке, но ещё не означает состоявшуюся продажу.</w:t>
      </w:r>
    </w:p>
    <w:tbl>
      <w:tblPr>
        <w:tblW w:type="dxa" w:w="935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44"/>
        <w:gridCol w:w="979"/>
        <w:gridCol w:w="1296"/>
        <w:gridCol w:w="892"/>
        <w:gridCol w:w="1584"/>
        <w:gridCol w:w="2563"/>
      </w:tblGrid>
      <w:tr>
        <w:trPr>
          <w:tblHeader w:val="true"/>
        </w:trPr>
        <w:tc>
          <w:tcPr>
            <w:tcW w:type="dxa" w:w="2044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Кампания</w:t>
            </w:r>
          </w:p>
        </w:tc>
        <w:tc>
          <w:tcPr>
            <w:tcW w:type="dxa" w:w="97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Показы</w:t>
            </w:r>
          </w:p>
        </w:tc>
        <w:tc>
          <w:tcPr>
            <w:tcW w:type="dxa" w:w="1296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Переходы</w:t>
            </w:r>
          </w:p>
        </w:tc>
        <w:tc>
          <w:tcPr>
            <w:tcW w:type="dxa" w:w="89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CTR</w:t>
            </w:r>
          </w:p>
        </w:tc>
        <w:tc>
          <w:tcPr>
            <w:tcW w:type="dxa" w:w="1584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Расход без НДС</w:t>
            </w:r>
          </w:p>
        </w:tc>
        <w:tc>
          <w:tcPr>
            <w:tcW w:type="dxa" w:w="256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D7D9DE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Действия</w:t>
            </w:r>
          </w:p>
        </w:tc>
      </w:tr>
      <w:tr>
        <w:tc>
          <w:tcPr>
            <w:tcW w:type="dxa" w:w="2044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Профнастил</w:t>
            </w:r>
          </w:p>
        </w:tc>
        <w:tc>
          <w:tcPr>
            <w:tcW w:type="dxa" w:w="97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2 649</w:t>
            </w:r>
          </w:p>
        </w:tc>
        <w:tc>
          <w:tcPr>
            <w:tcW w:type="dxa" w:w="1296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297</w:t>
            </w:r>
          </w:p>
        </w:tc>
        <w:tc>
          <w:tcPr>
            <w:tcW w:type="dxa" w:w="89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11,21%</w:t>
            </w:r>
          </w:p>
        </w:tc>
        <w:tc>
          <w:tcPr>
            <w:tcW w:type="dxa" w:w="1584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3 832,31 ₽</w:t>
            </w:r>
          </w:p>
        </w:tc>
        <w:tc>
          <w:tcPr>
            <w:tcW w:type="dxa" w:w="256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8</w:t>
            </w:r>
          </w:p>
        </w:tc>
      </w:tr>
      <w:tr>
        <w:tc>
          <w:tcPr>
            <w:tcW w:type="dxa" w:w="2044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Металлочерепица</w:t>
            </w:r>
          </w:p>
        </w:tc>
        <w:tc>
          <w:tcPr>
            <w:tcW w:type="dxa" w:w="97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830</w:t>
            </w:r>
          </w:p>
        </w:tc>
        <w:tc>
          <w:tcPr>
            <w:tcW w:type="dxa" w:w="1296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90</w:t>
            </w:r>
          </w:p>
        </w:tc>
        <w:tc>
          <w:tcPr>
            <w:tcW w:type="dxa" w:w="89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10,84%</w:t>
            </w:r>
          </w:p>
        </w:tc>
        <w:tc>
          <w:tcPr>
            <w:tcW w:type="dxa" w:w="1584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1 705,32 ₽</w:t>
            </w:r>
          </w:p>
        </w:tc>
        <w:tc>
          <w:tcPr>
            <w:tcW w:type="dxa" w:w="256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4</w:t>
            </w:r>
          </w:p>
        </w:tc>
      </w:tr>
      <w:tr>
        <w:tc>
          <w:tcPr>
            <w:tcW w:type="dxa" w:w="2044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Итого</w:t>
            </w:r>
          </w:p>
        </w:tc>
        <w:tc>
          <w:tcPr>
            <w:tcW w:type="dxa" w:w="97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3 479</w:t>
            </w:r>
          </w:p>
        </w:tc>
        <w:tc>
          <w:tcPr>
            <w:tcW w:type="dxa" w:w="1296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387</w:t>
            </w:r>
          </w:p>
        </w:tc>
        <w:tc>
          <w:tcPr>
            <w:tcW w:type="dxa" w:w="89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11,12%</w:t>
            </w:r>
          </w:p>
        </w:tc>
        <w:tc>
          <w:tcPr>
            <w:tcW w:type="dxa" w:w="1584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5 537,63 ₽</w:t>
            </w:r>
          </w:p>
        </w:tc>
        <w:tc>
          <w:tcPr>
            <w:tcW w:type="dxa" w:w="256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12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shd w:fill="FBEAEA"/>
            <w:tcBorders>
              <w:top w:val="single" w:sz="4" w:color="FBEAEA"/>
              <w:left w:val="single" w:sz="22" w:color="C82020"/>
              <w:bottom w:val="single" w:sz="4" w:color="FBEAEA"/>
              <w:right w:val="single" w:sz="4" w:color="FB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C82020"/>
                <w:sz w:val="20"/>
              </w:rPr>
              <w:t xml:space="preserve">Расход с НДС  </w:t>
            </w:r>
            <w:r>
              <w:rPr>
                <w:rFonts w:ascii="Arial" w:hAnsi="Arial" w:eastAsia="Arial"/>
                <w:b w:val="0"/>
                <w:i w:val="0"/>
                <w:color w:val="17191F"/>
                <w:sz w:val="20"/>
              </w:rPr>
              <w:t>Фактическая стоимость рекламы для клиента за период - 6 755,91 ₽. В таблице сохранены данные Директа без НДС, по которым рассчитываются CPC и CPA.</w:t>
            </w:r>
          </w:p>
        </w:tc>
      </w:tr>
    </w:tbl>
    <w:p>
      <w:pPr>
        <w:spacing w:after="0"/>
      </w:pPr>
    </w:p>
    <w:p>
      <w:pPr>
        <w:pStyle w:val="Heading2"/>
      </w:pPr>
      <w:r>
        <w:t>Что показывают цифры</w:t>
      </w:r>
    </w:p>
    <w:p>
      <w:pPr>
        <w:keepNext w:val="0"/>
        <w:numPr>
          <w:ilvl w:val="0"/>
          <w:numId w:val="10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Профнастил даёт основной объём. </w:t>
      </w:r>
      <w:r>
        <w:rPr>
          <w:rFonts w:ascii="Arial" w:hAnsi="Arial" w:eastAsia="Arial"/>
          <w:b w:val="0"/>
          <w:i w:val="0"/>
          <w:color w:val="17191F"/>
          <w:sz w:val="20"/>
        </w:rPr>
        <w:t>297 переходов, CTR 11,21% и средняя стоимость перехода 12,90 ₽. Кампания собрала 8 целевых действий.</w:t>
      </w:r>
    </w:p>
    <w:p>
      <w:pPr>
        <w:keepNext w:val="0"/>
        <w:numPr>
          <w:ilvl w:val="0"/>
          <w:numId w:val="10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Металлочерепица набрала темп. </w:t>
      </w:r>
      <w:r>
        <w:rPr>
          <w:rFonts w:ascii="Arial" w:hAnsi="Arial" w:eastAsia="Arial"/>
          <w:b w:val="0"/>
          <w:i w:val="0"/>
          <w:color w:val="17191F"/>
          <w:sz w:val="20"/>
        </w:rPr>
        <w:t>90 переходов привели к 4 целевым действиям. Ориентировочная стоимость одного действия - 426,33 ₽ против 479,04 ₽ у профнастила.</w:t>
      </w:r>
    </w:p>
    <w:p>
      <w:pPr>
        <w:keepNext w:val="0"/>
        <w:numPr>
          <w:ilvl w:val="0"/>
          <w:numId w:val="10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Общий CTR высокий. </w:t>
      </w:r>
      <w:r>
        <w:rPr>
          <w:rFonts w:ascii="Arial" w:hAnsi="Arial" w:eastAsia="Arial"/>
          <w:b w:val="0"/>
          <w:i w:val="0"/>
          <w:color w:val="17191F"/>
          <w:sz w:val="20"/>
        </w:rPr>
        <w:t>11,12% посетителей, увидевших рекламу, перешли на сайт. Средняя стоимость перехода по двум кампаниям - 14,31 ₽.</w:t>
      </w:r>
    </w:p>
    <w:p>
      <w:pPr>
        <w:keepNext w:val="0"/>
        <w:numPr>
          <w:ilvl w:val="0"/>
          <w:numId w:val="10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Последние два дня сильнее среднего. </w:t>
      </w:r>
      <w:r>
        <w:rPr>
          <w:rFonts w:ascii="Arial" w:hAnsi="Arial" w:eastAsia="Arial"/>
          <w:b w:val="0"/>
          <w:i w:val="0"/>
          <w:color w:val="17191F"/>
          <w:sz w:val="20"/>
        </w:rPr>
        <w:t>4-5 августа получено 186 переходов и 7 целевых действий. CPA составил 314,69 ₽ без НДС, что на 31,8% ниже среднего за весь период.</w:t>
      </w:r>
    </w:p>
    <w:p>
      <w:pPr>
        <w:pStyle w:val="Heading2"/>
      </w:pPr>
      <w:r>
        <w:t>Сравнение эффективности</w:t>
      </w:r>
    </w:p>
    <w:tbl>
      <w:tblPr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51"/>
        <w:gridCol w:w="6408"/>
      </w:tblGrid>
      <w:tr>
        <w:tc>
          <w:tcPr>
            <w:tcW w:type="dxa" w:w="2951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3" w:color="D9DCE2"/>
              <w:left w:val="single" w:sz="3" w:color="D9DCE2"/>
              <w:bottom w:val="single" w:sz="3" w:color="D9DCE2"/>
              <w:right w:val="single" w:sz="3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Профнастил</w:t>
            </w:r>
          </w:p>
        </w:tc>
        <w:tc>
          <w:tcPr>
            <w:tcW w:type="dxa" w:w="6408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3" w:color="D9DCE2"/>
              <w:left w:val="single" w:sz="3" w:color="D9DCE2"/>
              <w:bottom w:val="single" w:sz="3" w:color="D9DCE2"/>
              <w:right w:val="single" w:sz="3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CPC 12,90 ₽  •  8 действий  •  ориентировочный CPA 479,04 ₽</w:t>
            </w:r>
          </w:p>
        </w:tc>
      </w:tr>
      <w:tr>
        <w:tc>
          <w:tcPr>
            <w:tcW w:type="dxa" w:w="2951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3" w:color="D9DCE2"/>
              <w:left w:val="single" w:sz="3" w:color="D9DCE2"/>
              <w:bottom w:val="single" w:sz="3" w:color="D9DCE2"/>
              <w:right w:val="single" w:sz="3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Металлочерепица</w:t>
            </w:r>
          </w:p>
        </w:tc>
        <w:tc>
          <w:tcPr>
            <w:tcW w:type="dxa" w:w="6408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3" w:color="D9DCE2"/>
              <w:left w:val="single" w:sz="3" w:color="D9DCE2"/>
              <w:bottom w:val="single" w:sz="3" w:color="D9DCE2"/>
              <w:right w:val="single" w:sz="3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CPC 18,95 ₽  •  4 действия  •  ориентировочный CPA 426,33 ₽</w:t>
            </w:r>
          </w:p>
        </w:tc>
      </w:tr>
      <w:tr>
        <w:tc>
          <w:tcPr>
            <w:tcW w:type="dxa" w:w="2951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3" w:color="D9DCE2"/>
              <w:left w:val="single" w:sz="3" w:color="D9DCE2"/>
              <w:bottom w:val="single" w:sz="3" w:color="D9DCE2"/>
              <w:right w:val="single" w:sz="3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Итого</w:t>
            </w:r>
          </w:p>
        </w:tc>
        <w:tc>
          <w:tcPr>
            <w:tcW w:type="dxa" w:w="6408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3" w:color="D9DCE2"/>
              <w:left w:val="single" w:sz="3" w:color="D9DCE2"/>
              <w:bottom w:val="single" w:sz="3" w:color="D9DCE2"/>
              <w:right w:val="single" w:sz="3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12 целевых действий  •  ориентировочный CPA 461,47 ₽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F3F4F6"/>
              <w:left w:val="single" w:sz="22" w:color="626773"/>
              <w:bottom w:val="single" w:sz="4" w:color="F3F4F6"/>
              <w:right w:val="single" w:sz="4" w:color="F3F4F6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626773"/>
                <w:sz w:val="20"/>
              </w:rPr>
              <w:t xml:space="preserve">Важно  </w:t>
            </w:r>
            <w:r>
              <w:rPr>
                <w:rFonts w:ascii="Arial" w:hAnsi="Arial" w:eastAsia="Arial"/>
                <w:b w:val="0"/>
                <w:i w:val="0"/>
                <w:color w:val="17191F"/>
                <w:sz w:val="20"/>
              </w:rPr>
              <w:t>В отчёте не называем двенадцать действий двенадцатью заявками. Отдел продаж должен подтверждать, какие формы, звонки и сообщения стали реальными обращениями и заказами.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Контакты и источники трафика</w:t>
      </w:r>
    </w:p>
    <w:p>
      <w:pPr>
        <w:keepNext w:val="0"/>
        <w:spacing w:before="0" w:after="180" w:line="269" w:lineRule="auto"/>
      </w:pPr>
      <w:r>
        <w:rPr>
          <w:rFonts w:ascii="Arial" w:hAnsi="Arial" w:eastAsia="Arial"/>
          <w:b w:val="0"/>
          <w:i w:val="0"/>
          <w:color w:val="17191F"/>
          <w:sz w:val="20"/>
        </w:rPr>
        <w:t>Директ учитывает действия посетителей на сайте. Для оценки бизнеса эти данные нужно сопоставлять с письмами, звонками и фактическими диалогами менеджера.</w:t>
      </w:r>
    </w:p>
    <w:p>
      <w:pPr>
        <w:keepNext w:val="0"/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2"/>
        </w:rPr>
        <w:t>Какие действия зафиксированы</w:t>
      </w:r>
    </w:p>
    <w:tbl>
      <w:tblPr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51"/>
        <w:gridCol w:w="6408"/>
      </w:tblGrid>
      <w:tr>
        <w:tc>
          <w:tcPr>
            <w:tcW w:type="dxa" w:w="295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Заявка из корзины</w:t>
            </w:r>
          </w:p>
        </w:tc>
        <w:tc>
          <w:tcPr>
            <w:tcW w:type="dxa" w:w="640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1 - отправлена форма заказа</w:t>
            </w:r>
          </w:p>
        </w:tc>
      </w:tr>
      <w:tr>
        <w:tc>
          <w:tcPr>
            <w:tcW w:type="dxa" w:w="295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Заявка через форму</w:t>
            </w:r>
          </w:p>
        </w:tc>
        <w:tc>
          <w:tcPr>
            <w:tcW w:type="dxa" w:w="640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1 - отправлена форма обратной связи</w:t>
            </w:r>
          </w:p>
        </w:tc>
      </w:tr>
      <w:tr>
        <w:tc>
          <w:tcPr>
            <w:tcW w:type="dxa" w:w="295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Клик по телефону</w:t>
            </w:r>
          </w:p>
        </w:tc>
        <w:tc>
          <w:tcPr>
            <w:tcW w:type="dxa" w:w="640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8 - посетитель открыл набор номера</w:t>
            </w:r>
          </w:p>
        </w:tc>
      </w:tr>
      <w:tr>
        <w:tc>
          <w:tcPr>
            <w:tcW w:type="dxa" w:w="295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Переход в WhatsApp</w:t>
            </w:r>
          </w:p>
        </w:tc>
        <w:tc>
          <w:tcPr>
            <w:tcW w:type="dxa" w:w="640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2 - посетитель открыл диалог с компанией</w:t>
            </w:r>
          </w:p>
        </w:tc>
      </w:tr>
      <w:tr>
        <w:tc>
          <w:tcPr>
            <w:tcW w:type="dxa" w:w="2951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Итого в Директе</w:t>
            </w:r>
          </w:p>
        </w:tc>
        <w:tc>
          <w:tcPr>
            <w:tcW w:type="dxa" w:w="640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12 целевых действий, а не двенадцать оплаченных заказов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shd w:fill="EAF5EF"/>
            <w:tcBorders>
              <w:top w:val="single" w:sz="4" w:color="EAF5EF"/>
              <w:left w:val="single" w:sz="22" w:color="2E7D50"/>
              <w:bottom w:val="single" w:sz="4" w:color="EAF5EF"/>
              <w:right w:val="single" w:sz="4" w:color="EAF5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2E7D50"/>
                <w:sz w:val="20"/>
              </w:rPr>
              <w:t xml:space="preserve">5 августа  </w:t>
            </w:r>
            <w:r>
              <w:rPr>
                <w:rFonts w:ascii="Arial" w:hAnsi="Arial" w:eastAsia="Arial"/>
                <w:b w:val="0"/>
                <w:i w:val="0"/>
                <w:color w:val="17191F"/>
                <w:sz w:val="20"/>
              </w:rPr>
              <w:t>Метрика увидела 5 действий с рекламы: заявку из корзины, заявку через форму и 3 клика по телефону. В отчёте Директа пока зачтено 4 конверсии; текущий день может доатрибутироваться, а несколько действий одного посетителя не равны нескольким клиентам.</w:t>
            </w:r>
          </w:p>
        </w:tc>
      </w:tr>
    </w:tbl>
    <w:p>
      <w:pPr>
        <w:spacing w:after="0"/>
      </w:pPr>
    </w:p>
    <w:p>
      <w:pPr>
        <w:pStyle w:val="Heading2"/>
      </w:pPr>
      <w:r>
        <w:t>Роль автотаргетинга</w:t>
      </w:r>
    </w:p>
    <w:tbl>
      <w:tblPr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84"/>
        <w:gridCol w:w="1655"/>
        <w:gridCol w:w="2232"/>
        <w:gridCol w:w="2088"/>
      </w:tblGrid>
      <w:tr>
        <w:trPr>
          <w:tblHeader w:val="true"/>
        </w:trPr>
        <w:tc>
          <w:tcPr>
            <w:tcW w:type="dxa" w:w="3384"/>
            <w:tcMar>
              <w:top w:w="110" w:type="dxa"/>
              <w:start w:w="140" w:type="dxa"/>
              <w:bottom w:w="110" w:type="dxa"/>
              <w:end w:w="140" w:type="dxa"/>
            </w:tcMar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Источник</w:t>
            </w:r>
          </w:p>
        </w:tc>
        <w:tc>
          <w:tcPr>
            <w:tcW w:type="dxa" w:w="1655"/>
            <w:tcMar>
              <w:top w:w="110" w:type="dxa"/>
              <w:start w:w="140" w:type="dxa"/>
              <w:bottom w:w="110" w:type="dxa"/>
              <w:end w:w="140" w:type="dxa"/>
            </w:tcMar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Переходы</w:t>
            </w:r>
          </w:p>
        </w:tc>
        <w:tc>
          <w:tcPr>
            <w:tcW w:type="dxa" w:w="2232"/>
            <w:tcMar>
              <w:top w:w="110" w:type="dxa"/>
              <w:start w:w="140" w:type="dxa"/>
              <w:bottom w:w="110" w:type="dxa"/>
              <w:end w:w="140" w:type="dxa"/>
            </w:tcMar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Расход</w:t>
            </w:r>
          </w:p>
        </w:tc>
        <w:tc>
          <w:tcPr>
            <w:tcW w:type="dxa" w:w="2088"/>
            <w:tcMar>
              <w:top w:w="110" w:type="dxa"/>
              <w:start w:w="140" w:type="dxa"/>
              <w:bottom w:w="110" w:type="dxa"/>
              <w:end w:w="140" w:type="dxa"/>
            </w:tcMar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Доля расхода</w:t>
            </w:r>
          </w:p>
        </w:tc>
      </w:tr>
      <w:tr>
        <w:tc>
          <w:tcPr>
            <w:tcW w:type="dxa" w:w="3384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Автотаргетинг</w:t>
            </w:r>
          </w:p>
        </w:tc>
        <w:tc>
          <w:tcPr>
            <w:tcW w:type="dxa" w:w="1655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291</w:t>
            </w:r>
          </w:p>
        </w:tc>
        <w:tc>
          <w:tcPr>
            <w:tcW w:type="dxa" w:w="2232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4 268,65 ₽</w:t>
            </w:r>
          </w:p>
        </w:tc>
        <w:tc>
          <w:tcPr>
            <w:tcW w:type="dxa" w:w="2088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77,1%</w:t>
            </w:r>
          </w:p>
        </w:tc>
      </w:tr>
      <w:tr>
        <w:tc>
          <w:tcPr>
            <w:tcW w:type="dxa" w:w="3384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Ключевые фразы</w:t>
            </w:r>
          </w:p>
        </w:tc>
        <w:tc>
          <w:tcPr>
            <w:tcW w:type="dxa" w:w="1655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96</w:t>
            </w:r>
          </w:p>
        </w:tc>
        <w:tc>
          <w:tcPr>
            <w:tcW w:type="dxa" w:w="2232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1 268,98 ₽</w:t>
            </w:r>
          </w:p>
        </w:tc>
        <w:tc>
          <w:tcPr>
            <w:tcW w:type="dxa" w:w="2088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22,9%</w:t>
            </w:r>
          </w:p>
        </w:tc>
      </w:tr>
      <w:tr>
        <w:tc>
          <w:tcPr>
            <w:tcW w:type="dxa" w:w="3384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Итого</w:t>
            </w:r>
          </w:p>
        </w:tc>
        <w:tc>
          <w:tcPr>
            <w:tcW w:type="dxa" w:w="1655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387</w:t>
            </w:r>
          </w:p>
        </w:tc>
        <w:tc>
          <w:tcPr>
            <w:tcW w:type="dxa" w:w="2232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5 537,63 ₽</w:t>
            </w:r>
          </w:p>
        </w:tc>
        <w:tc>
          <w:tcPr>
            <w:tcW w:type="dxa" w:w="2088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100%</w:t>
            </w:r>
          </w:p>
        </w:tc>
      </w:tr>
    </w:tbl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Автотаргетинг дал 291 из 387 переходов и использовал 77,1% расходов.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Полностью отключать его сейчас невыгодно: он обеспечивает основной объём и уже приводит контактные действия.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Правильная тактика - регулярно чистить поисковые запросы и ограничивать явно нецелевые темы.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F3F4F6"/>
              <w:left w:val="single" w:sz="22" w:color="626773"/>
              <w:bottom w:val="single" w:sz="4" w:color="F3F4F6"/>
              <w:right w:val="single" w:sz="4" w:color="F3F4F6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626773"/>
                <w:sz w:val="20"/>
              </w:rPr>
              <w:t xml:space="preserve">Статус  </w:t>
            </w:r>
            <w:r>
              <w:rPr>
                <w:rFonts w:ascii="Arial" w:hAnsi="Arial" w:eastAsia="Arial"/>
                <w:b w:val="0"/>
                <w:i w:val="0"/>
                <w:color w:val="17191F"/>
                <w:sz w:val="20"/>
              </w:rPr>
              <w:t>Кампании работают только в поиске Яндекса, по Омску и Омской области, ежедневно с 08:00 до 21:00 по омскому времени.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Качество поисковых запросов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shd w:fill="EAF5EF"/>
            <w:tcBorders>
              <w:top w:val="single" w:sz="4" w:color="EAF5EF"/>
              <w:left w:val="single" w:sz="22" w:color="2E7D50"/>
              <w:bottom w:val="single" w:sz="4" w:color="EAF5EF"/>
              <w:right w:val="single" w:sz="4" w:color="EAF5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2E7D50"/>
                <w:sz w:val="20"/>
              </w:rPr>
              <w:t xml:space="preserve">Применено 2 августа  </w:t>
            </w:r>
            <w:r>
              <w:rPr>
                <w:rFonts w:ascii="Arial" w:hAnsi="Arial" w:eastAsia="Arial"/>
                <w:b w:val="0"/>
                <w:i w:val="0"/>
                <w:color w:val="17191F"/>
                <w:sz w:val="20"/>
              </w:rPr>
              <w:t>Пакет минус-фраз внесён: 14 добавлений в кампанию профнастила и 13 - в кампанию металлочерепицы. Он закрыл часть нецелевых запросов, но не все формулировки, обнаруженные позднее. Бюджеты, стратегии, география и расписание не менялись.</w:t>
            </w:r>
          </w:p>
        </w:tc>
      </w:tr>
    </w:tbl>
    <w:p>
      <w:pPr>
        <w:spacing w:after="0"/>
      </w:pPr>
    </w:p>
    <w:tbl>
      <w:tblPr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2"/>
        <w:gridCol w:w="4680"/>
        <w:gridCol w:w="2347"/>
      </w:tblGrid>
      <w:tr>
        <w:trPr>
          <w:tblHeader w:val="true"/>
        </w:trPr>
        <w:tc>
          <w:tcPr>
            <w:tcW w:type="dxa" w:w="2332"/>
            <w:tcMar>
              <w:top w:w="110" w:type="dxa"/>
              <w:start w:w="140" w:type="dxa"/>
              <w:bottom w:w="110" w:type="dxa"/>
              <w:end w:w="140" w:type="dxa"/>
            </w:tcMar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Тип нецелевого спроса</w:t>
            </w:r>
          </w:p>
        </w:tc>
        <w:tc>
          <w:tcPr>
            <w:tcW w:type="dxa" w:w="4680"/>
            <w:tcMar>
              <w:top w:w="110" w:type="dxa"/>
              <w:start w:w="140" w:type="dxa"/>
              <w:bottom w:w="110" w:type="dxa"/>
              <w:end w:w="140" w:type="dxa"/>
            </w:tcMar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Примеры</w:t>
            </w:r>
          </w:p>
        </w:tc>
        <w:tc>
          <w:tcPr>
            <w:tcW w:type="dxa" w:w="2347"/>
            <w:tcMar>
              <w:top w:w="110" w:type="dxa"/>
              <w:start w:w="140" w:type="dxa"/>
              <w:bottom w:w="110" w:type="dxa"/>
              <w:end w:w="140" w:type="dxa"/>
            </w:tcMar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Потери</w:t>
            </w:r>
          </w:p>
        </w:tc>
      </w:tr>
      <w:tr>
        <w:tc>
          <w:tcPr>
            <w:tcW w:type="dxa" w:w="2332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Другие города</w:t>
            </w:r>
          </w:p>
        </w:tc>
        <w:tc>
          <w:tcPr>
            <w:tcW w:type="dxa" w:w="4680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Ишим, Новокузнецк, Москва, Челябинск</w:t>
            </w:r>
          </w:p>
        </w:tc>
        <w:tc>
          <w:tcPr>
            <w:tcW w:type="dxa" w:w="2347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отсечение географии</w:t>
            </w:r>
          </w:p>
        </w:tc>
      </w:tr>
      <w:tr>
        <w:tc>
          <w:tcPr>
            <w:tcW w:type="dxa" w:w="2332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Конкуренты и адреса</w:t>
            </w:r>
          </w:p>
        </w:tc>
        <w:tc>
          <w:tcPr>
            <w:tcW w:type="dxa" w:w="4680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Сайдинг Инвест, Основа Строй, 33 Северная, Ю3</w:t>
            </w:r>
          </w:p>
        </w:tc>
        <w:tc>
          <w:tcPr>
            <w:tcW w:type="dxa" w:w="2347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исключение брендов</w:t>
            </w:r>
          </w:p>
        </w:tc>
      </w:tr>
      <w:tr>
        <w:tc>
          <w:tcPr>
            <w:tcW w:type="dxa" w:w="2332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Другие товары</w:t>
            </w:r>
          </w:p>
        </w:tc>
        <w:tc>
          <w:tcPr>
            <w:tcW w:type="dxa" w:w="4680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краска для пола, рифлёный лист, печать, резиновый</w:t>
            </w:r>
          </w:p>
        </w:tc>
        <w:tc>
          <w:tcPr>
            <w:tcW w:type="dxa" w:w="2347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исключение тематики</w:t>
            </w:r>
          </w:p>
        </w:tc>
      </w:tr>
      <w:tr>
        <w:tc>
          <w:tcPr>
            <w:tcW w:type="dxa" w:w="2332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Низкая готовность</w:t>
            </w:r>
          </w:p>
        </w:tc>
        <w:tc>
          <w:tcPr>
            <w:tcW w:type="dxa" w:w="4680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б/у, справочные и информационные запросы</w:t>
            </w:r>
          </w:p>
        </w:tc>
        <w:tc>
          <w:tcPr>
            <w:tcW w:type="dxa" w:w="2347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перенос в SEO</w:t>
            </w:r>
          </w:p>
        </w:tc>
      </w:tr>
    </w:tbl>
    <w:p>
      <w:pPr>
        <w:pStyle w:val="Heading2"/>
      </w:pPr>
      <w:r>
        <w:t>Что делаем с этим трафиком</w:t>
      </w:r>
    </w:p>
    <w:p>
      <w:pPr>
        <w:keepNext w:val="0"/>
        <w:numPr>
          <w:ilvl w:val="0"/>
          <w:numId w:val="11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Расширяем минус-фразы. </w:t>
      </w:r>
      <w:r>
        <w:rPr>
          <w:rFonts w:ascii="Arial" w:hAnsi="Arial" w:eastAsia="Arial"/>
          <w:b w:val="0"/>
          <w:i w:val="0"/>
          <w:color w:val="17191F"/>
          <w:sz w:val="20"/>
        </w:rPr>
        <w:t>Добавляем фамилии и названия компаний, другие города, адресные запросы и неподходящие товары.</w:t>
      </w:r>
    </w:p>
    <w:p>
      <w:pPr>
        <w:keepNext w:val="0"/>
        <w:numPr>
          <w:ilvl w:val="0"/>
          <w:numId w:val="11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Не блокируем полезный спрос. </w:t>
      </w:r>
      <w:r>
        <w:rPr>
          <w:rFonts w:ascii="Arial" w:hAnsi="Arial" w:eastAsia="Arial"/>
          <w:b w:val="0"/>
          <w:i w:val="0"/>
          <w:color w:val="17191F"/>
          <w:sz w:val="20"/>
        </w:rPr>
        <w:t>Запрос «металлический штакетник Омск» уже дал контактное действие. Его лучше вынести в отдельную посадочную страницу и рекламную группу.</w:t>
      </w:r>
    </w:p>
    <w:p>
      <w:pPr>
        <w:keepNext w:val="0"/>
        <w:numPr>
          <w:ilvl w:val="0"/>
          <w:numId w:val="11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Информационный спрос переносим в SEO. </w:t>
      </w:r>
      <w:r>
        <w:rPr>
          <w:rFonts w:ascii="Arial" w:hAnsi="Arial" w:eastAsia="Arial"/>
          <w:b w:val="0"/>
          <w:i w:val="0"/>
          <w:color w:val="17191F"/>
          <w:sz w:val="20"/>
        </w:rPr>
        <w:t>39 справочных формулировок дали 44 перехода, 321,63 ₽ расходов и 0 целевых действий. На них лучше отвечать статьями, а не оплачивать каждый переход.</w:t>
      </w:r>
    </w:p>
    <w:p>
      <w:pPr>
        <w:pStyle w:val="Heading2"/>
      </w:pPr>
      <w:r>
        <w:t>Что уже закрыто текущими минус-фразами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«профнастил оцинковка Ишим» - исключено словом «ишим»;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«Сайдинг Инвест» - исключено отдельной фразой;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«краска для пола» и «профнастил б/у» - закрываются словами «краска» и «бу».</w:t>
      </w:r>
    </w:p>
    <w:p>
      <w:pPr>
        <w:pStyle w:val="Heading2"/>
      </w:pPr>
      <w:r>
        <w:t>Что ещё требуется добавить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«Новокузнецк», «ИП Игнатенко Анатолий Владимирович», «Основа Строй», «печать», «рифлёный»;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Новые запросы 5 августа: «Лемана ПРО», «Леруа Мерлен», «Алейск», «лист металла 1 мм».</w:t>
      </w:r>
    </w:p>
    <w:p>
      <w:pPr>
        <w:keepNext w:val="0"/>
        <w:spacing w:before="140" w:after="0" w:line="269" w:lineRule="auto"/>
      </w:pPr>
      <w:r>
        <w:rPr>
          <w:rFonts w:ascii="Arial" w:hAnsi="Arial" w:eastAsia="Arial"/>
          <w:b/>
          <w:i w:val="0"/>
          <w:color w:val="C82020"/>
          <w:sz w:val="18"/>
        </w:rPr>
        <w:t>Эти формулировки сейчас отсутствуют в минус-фразах кампании. Их необходимо включить в следующий пакет очистки после согласования.</w:t>
      </w:r>
    </w:p>
    <w:p>
      <w:r>
        <w:br w:type="page"/>
      </w:r>
    </w:p>
    <w:p>
      <w:pPr>
        <w:pStyle w:val="Heading1"/>
      </w:pPr>
      <w:r>
        <w:t>4. Дополнительная возможность роста: SEO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shd w:fill="FBEAEA"/>
            <w:tcBorders>
              <w:top w:val="single" w:sz="4" w:color="FBEAEA"/>
              <w:left w:val="single" w:sz="22" w:color="C82020"/>
              <w:bottom w:val="single" w:sz="4" w:color="FBEAEA"/>
              <w:right w:val="single" w:sz="4" w:color="FB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C82020"/>
                <w:sz w:val="20"/>
              </w:rPr>
              <w:t xml:space="preserve">Отдельная услуга  </w:t>
            </w:r>
            <w:r>
              <w:rPr>
                <w:rFonts w:ascii="Arial" w:hAnsi="Arial" w:eastAsia="Arial"/>
                <w:b w:val="0"/>
                <w:i w:val="0"/>
                <w:color w:val="17191F"/>
                <w:sz w:val="20"/>
              </w:rPr>
              <w:t>SEO-продвижение не входит в текущий объём работ и ранее не заказывалось. Ниже показан подтверждённый рекламой спрос, который можно проработать в отдельном SEO-проекте.</w:t>
            </w:r>
          </w:p>
        </w:tc>
      </w:tr>
    </w:tbl>
    <w:p>
      <w:pPr>
        <w:spacing w:after="0"/>
      </w:pPr>
    </w:p>
    <w:p>
      <w:pPr>
        <w:keepNext w:val="0"/>
        <w:spacing w:before="0" w:after="180" w:line="269" w:lineRule="auto"/>
      </w:pPr>
      <w:r>
        <w:rPr>
          <w:rFonts w:ascii="Arial" w:hAnsi="Arial" w:eastAsia="Arial"/>
          <w:b w:val="0"/>
          <w:i w:val="0"/>
          <w:color w:val="17191F"/>
          <w:sz w:val="20"/>
        </w:rPr>
        <w:t>За период найдено 151 уникальное поисковое выражение о цене, выборе, размерах, расчёте, цветах и профилях. Они дали 224 оплаченных перехода и использовали 2 797,34 ₽ рекламного бюджета без НДС.</w:t>
      </w:r>
    </w:p>
    <w:tbl>
      <w:tblPr>
        <w:tblW w:type="dxa" w:w="935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892"/>
        <w:gridCol w:w="979"/>
        <w:gridCol w:w="1512"/>
        <w:gridCol w:w="4075"/>
      </w:tblGrid>
      <w:tr>
        <w:trPr>
          <w:tblHeader w:val="true"/>
        </w:trPr>
        <w:tc>
          <w:tcPr>
            <w:tcW w:type="dxa" w:w="19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Направление спроса</w:t>
            </w:r>
          </w:p>
        </w:tc>
        <w:tc>
          <w:tcPr>
            <w:tcW w:type="dxa" w:w="89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Фразы</w:t>
            </w:r>
          </w:p>
        </w:tc>
        <w:tc>
          <w:tcPr>
            <w:tcW w:type="dxa" w:w="97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Клики</w:t>
            </w:r>
          </w:p>
        </w:tc>
        <w:tc>
          <w:tcPr>
            <w:tcW w:type="dxa" w:w="151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Расход без НДС</w:t>
            </w:r>
          </w:p>
        </w:tc>
        <w:tc>
          <w:tcPr>
            <w:tcW w:type="dxa" w:w="4075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Что создать</w:t>
            </w:r>
          </w:p>
        </w:tc>
      </w:tr>
      <w:tr>
        <w:tc>
          <w:tcPr>
            <w:tcW w:type="dxa" w:w="19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5"/>
              </w:rPr>
              <w:t>Цена и стоимость</w:t>
            </w:r>
          </w:p>
        </w:tc>
        <w:tc>
          <w:tcPr>
            <w:tcW w:type="dxa" w:w="89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5"/>
              </w:rPr>
              <w:t>94</w:t>
            </w:r>
          </w:p>
        </w:tc>
        <w:tc>
          <w:tcPr>
            <w:tcW w:type="dxa" w:w="97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5"/>
              </w:rPr>
              <w:t>141</w:t>
            </w:r>
          </w:p>
        </w:tc>
        <w:tc>
          <w:tcPr>
            <w:tcW w:type="dxa" w:w="151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5"/>
              </w:rPr>
              <w:t>1 666,49 ₽</w:t>
            </w:r>
          </w:p>
        </w:tc>
        <w:tc>
          <w:tcPr>
            <w:tcW w:type="dxa" w:w="4075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5"/>
              </w:rPr>
              <w:t>Страницы цен за лист и м²</w:t>
            </w:r>
          </w:p>
        </w:tc>
      </w:tr>
      <w:tr>
        <w:tc>
          <w:tcPr>
            <w:tcW w:type="dxa" w:w="19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5"/>
              </w:rPr>
              <w:t>Выбор и применение</w:t>
            </w:r>
          </w:p>
        </w:tc>
        <w:tc>
          <w:tcPr>
            <w:tcW w:type="dxa" w:w="89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5"/>
              </w:rPr>
              <w:t>64</w:t>
            </w:r>
          </w:p>
        </w:tc>
        <w:tc>
          <w:tcPr>
            <w:tcW w:type="dxa" w:w="97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5"/>
              </w:rPr>
              <w:t>101</w:t>
            </w:r>
          </w:p>
        </w:tc>
        <w:tc>
          <w:tcPr>
            <w:tcW w:type="dxa" w:w="151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5"/>
              </w:rPr>
              <w:t>980,77 ₽</w:t>
            </w:r>
          </w:p>
        </w:tc>
        <w:tc>
          <w:tcPr>
            <w:tcW w:type="dxa" w:w="4075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5"/>
              </w:rPr>
              <w:t>Материалы для крыши, забора и фасада</w:t>
            </w:r>
          </w:p>
        </w:tc>
      </w:tr>
      <w:tr>
        <w:tc>
          <w:tcPr>
            <w:tcW w:type="dxa" w:w="19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5"/>
              </w:rPr>
              <w:t>Цвета и покрытия</w:t>
            </w:r>
          </w:p>
        </w:tc>
        <w:tc>
          <w:tcPr>
            <w:tcW w:type="dxa" w:w="89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5"/>
              </w:rPr>
              <w:t>32</w:t>
            </w:r>
          </w:p>
        </w:tc>
        <w:tc>
          <w:tcPr>
            <w:tcW w:type="dxa" w:w="97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5"/>
              </w:rPr>
              <w:t>47</w:t>
            </w:r>
          </w:p>
        </w:tc>
        <w:tc>
          <w:tcPr>
            <w:tcW w:type="dxa" w:w="151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5"/>
              </w:rPr>
              <w:t>649,27 ₽</w:t>
            </w:r>
          </w:p>
        </w:tc>
        <w:tc>
          <w:tcPr>
            <w:tcW w:type="dxa" w:w="4075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5"/>
              </w:rPr>
              <w:t>RAL, оцинковка и покрытия</w:t>
            </w:r>
          </w:p>
        </w:tc>
      </w:tr>
      <w:tr>
        <w:tc>
          <w:tcPr>
            <w:tcW w:type="dxa" w:w="19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5"/>
              </w:rPr>
              <w:t>Размеры и расчёт</w:t>
            </w:r>
          </w:p>
        </w:tc>
        <w:tc>
          <w:tcPr>
            <w:tcW w:type="dxa" w:w="89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5"/>
              </w:rPr>
              <w:t>28</w:t>
            </w:r>
          </w:p>
        </w:tc>
        <w:tc>
          <w:tcPr>
            <w:tcW w:type="dxa" w:w="97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5"/>
              </w:rPr>
              <w:t>33</w:t>
            </w:r>
          </w:p>
        </w:tc>
        <w:tc>
          <w:tcPr>
            <w:tcW w:type="dxa" w:w="151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5"/>
              </w:rPr>
              <w:t>238,79 ₽</w:t>
            </w:r>
          </w:p>
        </w:tc>
        <w:tc>
          <w:tcPr>
            <w:tcW w:type="dxa" w:w="4075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5"/>
              </w:rPr>
              <w:t>Размеры, ширина и калькулятор</w:t>
            </w:r>
          </w:p>
        </w:tc>
      </w:tr>
      <w:tr>
        <w:tc>
          <w:tcPr>
            <w:tcW w:type="dxa" w:w="19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5"/>
              </w:rPr>
              <w:t>Профили и модели</w:t>
            </w:r>
          </w:p>
        </w:tc>
        <w:tc>
          <w:tcPr>
            <w:tcW w:type="dxa" w:w="89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5"/>
              </w:rPr>
              <w:t>12</w:t>
            </w:r>
          </w:p>
        </w:tc>
        <w:tc>
          <w:tcPr>
            <w:tcW w:type="dxa" w:w="97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5"/>
              </w:rPr>
              <w:t>24</w:t>
            </w:r>
          </w:p>
        </w:tc>
        <w:tc>
          <w:tcPr>
            <w:tcW w:type="dxa" w:w="1512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5"/>
              </w:rPr>
              <w:t>474,26 ₽</w:t>
            </w:r>
          </w:p>
        </w:tc>
        <w:tc>
          <w:tcPr>
            <w:tcW w:type="dxa" w:w="4075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3F4F6"/>
            <w:tcBorders>
              <w:top w:val="single" w:sz="4" w:color="D9DCE2"/>
              <w:left w:val="single" w:sz="4" w:color="D9DCE2"/>
              <w:bottom w:val="single" w:sz="4" w:color="D9DCE2"/>
              <w:right w:val="single" w:sz="4" w:color="D9DCE2"/>
            </w:tcBorders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5"/>
              </w:rPr>
              <w:t>С8-НС44, МП-20 и Монтеррей</w:t>
            </w:r>
          </w:p>
        </w:tc>
      </w:tr>
    </w:tbl>
    <w:p>
      <w:pPr>
        <w:keepNext w:val="0"/>
        <w:spacing w:before="100" w:after="160" w:line="269" w:lineRule="auto"/>
      </w:pPr>
      <w:r>
        <w:rPr>
          <w:rFonts w:ascii="Arial" w:hAnsi="Arial" w:eastAsia="Arial"/>
          <w:b w:val="0"/>
          <w:i/>
          <w:color w:val="626773"/>
          <w:sz w:val="17"/>
        </w:rPr>
        <w:t>Категории пересекаются: один запрос может одновременно относиться к цене, размеру и конкретному профилю. Поэтому строки таблицы нельзя складывать между собой.</w:t>
      </w:r>
    </w:p>
    <w:p>
      <w:pPr>
        <w:pStyle w:val="Heading2"/>
      </w:pPr>
      <w:r>
        <w:t>Что предлагается допродать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Сбор и кластеризация полной SEO-семантики по Омску и области.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Посадочные страницы по ценам, профилям, покрытиям и применению.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Статьи про выбор для крыши и забора, размеры и расчёт материала.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Техническая SEO-настройка, перелинковка, индексация и контроль обращений.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shd w:fill="EAF5EF"/>
            <w:tcBorders>
              <w:top w:val="single" w:sz="4" w:color="EAF5EF"/>
              <w:left w:val="single" w:sz="22" w:color="2E7D50"/>
              <w:bottom w:val="single" w:sz="4" w:color="EAF5EF"/>
              <w:right w:val="single" w:sz="4" w:color="EAF5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2E7D50"/>
                <w:sz w:val="20"/>
              </w:rPr>
              <w:t xml:space="preserve">Приоритет  </w:t>
            </w:r>
            <w:r>
              <w:rPr>
                <w:rFonts w:ascii="Arial" w:hAnsi="Arial" w:eastAsia="Arial"/>
                <w:b w:val="0"/>
                <w:i w:val="0"/>
                <w:color w:val="17191F"/>
                <w:sz w:val="20"/>
              </w:rPr>
              <w:t>Начать с цен, выбора для крыши и забора, размеров и калькулятора. Реклама уже подтвердила интерес к этим темам, но SEO потребует отдельного согласования и бюджета.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Что тестируем в объявлениях</w:t>
      </w:r>
    </w:p>
    <w:p>
      <w:pPr>
        <w:keepNext w:val="0"/>
        <w:spacing w:before="0" w:after="180" w:line="269" w:lineRule="auto"/>
      </w:pPr>
      <w:r>
        <w:rPr>
          <w:rFonts w:ascii="Arial" w:hAnsi="Arial" w:eastAsia="Arial"/>
          <w:b w:val="0"/>
          <w:i w:val="0"/>
          <w:color w:val="17191F"/>
          <w:sz w:val="20"/>
        </w:rPr>
        <w:t>Рекламные группы разделены по задаче покупателя. Это позволяет сравнить не только товары, но и аргументы, формулировки и изображения.</w:t>
      </w:r>
    </w:p>
    <w:tbl>
      <w:tblPr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93"/>
        <w:gridCol w:w="4766"/>
      </w:tblGrid>
      <w:tr>
        <w:tc>
          <w:tcPr>
            <w:tcW w:type="dxa" w:w="4593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100" w:line="269" w:lineRule="auto"/>
            </w:pPr>
            <w:r>
              <w:rPr>
                <w:rFonts w:ascii="Arial" w:hAnsi="Arial" w:eastAsia="Arial"/>
                <w:b/>
                <w:i w:val="0"/>
                <w:color w:val="C82020"/>
                <w:sz w:val="20"/>
              </w:rPr>
              <w:t>ПРОФНАСТИЛ</w:t>
            </w:r>
          </w:p>
          <w:p>
            <w:pPr>
              <w:pStyle w:val="ListBullet"/>
              <w:keepNext w:val="0"/>
              <w:spacing w:before="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Купить профнастил в Омске</w:t>
            </w:r>
          </w:p>
          <w:p>
            <w:pPr>
              <w:pStyle w:val="ListBullet"/>
              <w:keepNext w:val="0"/>
              <w:spacing w:before="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Профнастил для забора</w:t>
            </w:r>
          </w:p>
          <w:p>
            <w:pPr>
              <w:pStyle w:val="ListBullet"/>
              <w:keepNext w:val="0"/>
              <w:spacing w:before="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Профлист для крыши</w:t>
            </w:r>
          </w:p>
          <w:p>
            <w:pPr>
              <w:pStyle w:val="ListBullet"/>
              <w:keepNext w:val="0"/>
              <w:spacing w:before="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Профили С8-НС44</w:t>
            </w:r>
          </w:p>
          <w:p>
            <w:pPr>
              <w:pStyle w:val="ListBullet"/>
              <w:keepNext w:val="0"/>
              <w:spacing w:before="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Цвета RAL и размеры</w:t>
            </w:r>
          </w:p>
        </w:tc>
        <w:tc>
          <w:tcPr>
            <w:tcW w:type="dxa" w:w="4766"/>
            <w:tcMar>
              <w:top w:w="110" w:type="dxa"/>
              <w:start w:w="140" w:type="dxa"/>
              <w:bottom w:w="110" w:type="dxa"/>
              <w:end w:w="140" w:type="dxa"/>
            </w:tcMar>
            <w:shd w:fill="F3F4F6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100" w:line="269" w:lineRule="auto"/>
            </w:pPr>
            <w:r>
              <w:rPr>
                <w:rFonts w:ascii="Arial" w:hAnsi="Arial" w:eastAsia="Arial"/>
                <w:b/>
                <w:i w:val="0"/>
                <w:color w:val="C82020"/>
                <w:sz w:val="20"/>
              </w:rPr>
              <w:t>МЕТАЛЛОЧЕРЕПИЦА</w:t>
            </w:r>
          </w:p>
          <w:p>
            <w:pPr>
              <w:pStyle w:val="ListBullet"/>
              <w:keepNext w:val="0"/>
              <w:spacing w:before="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Цена и покупка в Омске</w:t>
            </w:r>
          </w:p>
          <w:p>
            <w:pPr>
              <w:pStyle w:val="ListBullet"/>
              <w:keepNext w:val="0"/>
              <w:spacing w:before="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Металлочерепица для крыши</w:t>
            </w:r>
          </w:p>
          <w:p>
            <w:pPr>
              <w:pStyle w:val="ListBullet"/>
              <w:keepNext w:val="0"/>
              <w:spacing w:before="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Кровельный комплект</w:t>
            </w:r>
          </w:p>
          <w:p>
            <w:pPr>
              <w:pStyle w:val="ListBullet"/>
              <w:keepNext w:val="0"/>
              <w:spacing w:before="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Супер-Монтеррей</w:t>
            </w:r>
          </w:p>
          <w:p>
            <w:pPr>
              <w:pStyle w:val="ListBullet"/>
              <w:keepNext w:val="0"/>
              <w:spacing w:before="0" w:after="40" w:line="252" w:lineRule="auto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Размеры и выбор цвета</w:t>
            </w:r>
          </w:p>
        </w:tc>
      </w:tr>
    </w:tbl>
    <w:p>
      <w:pPr>
        <w:pStyle w:val="Heading2"/>
      </w:pPr>
      <w:r>
        <w:t>Какие аргументы и фотографии сравниваем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Цена, изготовление по размерам, выбор RAL, доставка по Омску и области.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Готовый объект против наглядной фотографии отдельного профиля или цветовой линейки.</w:t>
      </w:r>
    </w:p>
    <w:tbl>
      <w:tblPr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19"/>
        <w:gridCol w:w="3120"/>
        <w:gridCol w:w="3120"/>
      </w:tblGrid>
      <w:tr>
        <w:tc>
          <w:tcPr>
            <w:tcW w:type="dxa" w:w="311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7" w:color="D9DCE2"/>
              <w:left w:val="single" w:sz="7" w:color="D9DCE2"/>
              <w:bottom w:val="single" w:sz="7" w:color="D9DCE2"/>
              <w:right w:val="single" w:sz="7" w:color="D9DCE2"/>
            </w:tcBorders>
          </w:tcPr>
          <w:p>
            <w:pPr>
              <w:keepNext w:val="0"/>
              <w:spacing w:before="0" w:after="40" w:line="26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64208" cy="960120"/>
                  <wp:docPr id="1" name="Picture 1" descr="Готовый забор" title="Готовый забор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nastil-fence-16x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208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6"/>
              </w:rPr>
              <w:t>Готовый забор</w:t>
            </w:r>
          </w:p>
        </w:tc>
        <w:tc>
          <w:tcPr>
            <w:tcW w:type="dxa" w:w="312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7" w:color="D9DCE2"/>
              <w:left w:val="single" w:sz="7" w:color="D9DCE2"/>
              <w:bottom w:val="single" w:sz="7" w:color="D9DCE2"/>
              <w:right w:val="single" w:sz="7" w:color="D9DCE2"/>
            </w:tcBorders>
          </w:tcPr>
          <w:p>
            <w:pPr>
              <w:keepNext w:val="0"/>
              <w:spacing w:before="0" w:after="40" w:line="26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64208" cy="960120"/>
                  <wp:docPr id="2" name="Picture 2" descr="Готовая кровля" title="Готовая кровл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nastil-roof-16x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208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6"/>
              </w:rPr>
              <w:t>Готовая кровля</w:t>
            </w:r>
          </w:p>
        </w:tc>
        <w:tc>
          <w:tcPr>
            <w:tcW w:type="dxa" w:w="312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7" w:color="D9DCE2"/>
              <w:left w:val="single" w:sz="7" w:color="D9DCE2"/>
              <w:bottom w:val="single" w:sz="7" w:color="D9DCE2"/>
              <w:right w:val="single" w:sz="7" w:color="D9DCE2"/>
            </w:tcBorders>
          </w:tcPr>
          <w:p>
            <w:pPr>
              <w:keepNext w:val="0"/>
              <w:spacing w:before="0" w:after="40" w:line="26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64208" cy="960120"/>
                  <wp:docPr id="3" name="Picture 3" descr="Профили и цвета" title="Профили и цвет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nastil-colors-4x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208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6"/>
              </w:rPr>
              <w:t>Профили и цвета</w:t>
            </w:r>
          </w:p>
        </w:tc>
      </w:tr>
      <w:tr>
        <w:tc>
          <w:tcPr>
            <w:tcW w:type="dxa" w:w="3119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7" w:color="D9DCE2"/>
              <w:left w:val="single" w:sz="7" w:color="D9DCE2"/>
              <w:bottom w:val="single" w:sz="7" w:color="D9DCE2"/>
              <w:right w:val="single" w:sz="7" w:color="D9DCE2"/>
            </w:tcBorders>
          </w:tcPr>
          <w:p>
            <w:pPr>
              <w:keepNext w:val="0"/>
              <w:spacing w:before="0" w:after="40" w:line="26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64208" cy="960120"/>
                  <wp:docPr id="4" name="Picture 4" descr="Линейка цветов" title="Линейка цветов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llocherepitsa-fan-1x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208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6"/>
              </w:rPr>
              <w:t>Линейка цветов</w:t>
            </w:r>
          </w:p>
        </w:tc>
        <w:tc>
          <w:tcPr>
            <w:tcW w:type="dxa" w:w="312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7" w:color="D9DCE2"/>
              <w:left w:val="single" w:sz="7" w:color="D9DCE2"/>
              <w:bottom w:val="single" w:sz="7" w:color="D9DCE2"/>
              <w:right w:val="single" w:sz="7" w:color="D9DCE2"/>
            </w:tcBorders>
          </w:tcPr>
          <w:p>
            <w:pPr>
              <w:keepNext w:val="0"/>
              <w:spacing w:before="0" w:after="40" w:line="26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64208" cy="960120"/>
                  <wp:docPr id="5" name="Picture 5" descr="Кровля, графит" title="Кровля, графи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llocherepitsa-house-4x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208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6"/>
              </w:rPr>
              <w:t>Кровля, графит</w:t>
            </w:r>
          </w:p>
        </w:tc>
        <w:tc>
          <w:tcPr>
            <w:tcW w:type="dxa" w:w="312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7" w:color="D9DCE2"/>
              <w:left w:val="single" w:sz="7" w:color="D9DCE2"/>
              <w:bottom w:val="single" w:sz="7" w:color="D9DCE2"/>
              <w:right w:val="single" w:sz="7" w:color="D9DCE2"/>
            </w:tcBorders>
          </w:tcPr>
          <w:p>
            <w:pPr>
              <w:keepNext w:val="0"/>
              <w:spacing w:before="0" w:after="40" w:line="26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64208" cy="960120"/>
                  <wp:docPr id="6" name="Picture 6" descr="Кровля, бордо" title="Кровля, борд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llocherepitsa-roof-16x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208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6"/>
              </w:rPr>
              <w:t>Кровля, бордо</w:t>
            </w:r>
          </w:p>
        </w:tc>
      </w:tr>
    </w:tbl>
    <w:p>
      <w:pPr>
        <w:keepNext w:val="0"/>
        <w:spacing w:before="140" w:after="0" w:line="269" w:lineRule="auto"/>
      </w:pPr>
      <w:r>
        <w:rPr>
          <w:rFonts w:ascii="Arial" w:hAnsi="Arial" w:eastAsia="Arial"/>
          <w:b w:val="0"/>
          <w:i w:val="0"/>
          <w:color w:val="626773"/>
          <w:sz w:val="18"/>
        </w:rPr>
        <w:t>Следующий вывод по визуалам делаем не по вкусу, а по фактической цене качественного обращения после накопления данных.</w:t>
      </w:r>
    </w:p>
    <w:p>
      <w:r>
        <w:br w:type="page"/>
      </w:r>
    </w:p>
    <w:p>
      <w:pPr>
        <w:pStyle w:val="Heading1"/>
      </w:pPr>
      <w:r>
        <w:t>6. Бюджет и следующий этап</w:t>
      </w:r>
    </w:p>
    <w:p>
      <w:pPr>
        <w:keepNext w:val="0"/>
        <w:spacing w:before="0" w:after="200" w:line="269" w:lineRule="auto"/>
      </w:pPr>
      <w:r>
        <w:rPr>
          <w:rFonts w:ascii="Arial" w:hAnsi="Arial" w:eastAsia="Arial"/>
          <w:b w:val="0"/>
          <w:i w:val="0"/>
          <w:color w:val="17191F"/>
          <w:sz w:val="20"/>
        </w:rPr>
        <w:t>Общий план остаётся прежним: сначала ограниченный тест, затем масштабирование только подтверждённых связок.</w:t>
      </w:r>
    </w:p>
    <w:tbl>
      <w:tblPr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88"/>
        <w:gridCol w:w="1123"/>
        <w:gridCol w:w="2880"/>
        <w:gridCol w:w="3168"/>
      </w:tblGrid>
      <w:tr>
        <w:trPr>
          <w:tblHeader w:val="true"/>
        </w:trPr>
        <w:tc>
          <w:tcPr>
            <w:tcW w:type="dxa" w:w="218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Этап</w:t>
            </w:r>
          </w:p>
        </w:tc>
        <w:tc>
          <w:tcPr>
            <w:tcW w:type="dxa" w:w="112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Бюджет</w:t>
            </w:r>
          </w:p>
        </w:tc>
        <w:tc>
          <w:tcPr>
            <w:tcW w:type="dxa" w:w="288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17191F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Как распределяем</w:t>
            </w:r>
          </w:p>
        </w:tc>
        <w:tc>
          <w:tcPr>
            <w:tcW w:type="dxa" w:w="316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D7D9DE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/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Цель этапа</w:t>
            </w:r>
          </w:p>
        </w:tc>
      </w:tr>
      <w:tr>
        <w:tc>
          <w:tcPr>
            <w:tcW w:type="dxa" w:w="218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1. Контрольный тест</w:t>
            </w:r>
          </w:p>
        </w:tc>
        <w:tc>
          <w:tcPr>
            <w:tcW w:type="dxa" w:w="112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10 000 ₽</w:t>
            </w:r>
          </w:p>
        </w:tc>
        <w:tc>
          <w:tcPr>
            <w:tcW w:type="dxa" w:w="288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Потрачено с НДС - 6 756 ₽</w:t>
              <w:br/>
              <w:t>Остаток - 3 244 ₽</w:t>
            </w:r>
          </w:p>
        </w:tc>
        <w:tc>
          <w:tcPr>
            <w:tcW w:type="dxa" w:w="316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Дочищаем запросы и сравниваем цену качественного обращения</w:t>
            </w:r>
          </w:p>
        </w:tc>
      </w:tr>
      <w:tr>
        <w:tc>
          <w:tcPr>
            <w:tcW w:type="dxa" w:w="218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2. Масштабирование</w:t>
            </w:r>
          </w:p>
        </w:tc>
        <w:tc>
          <w:tcPr>
            <w:tcW w:type="dxa" w:w="1123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91F"/>
                <w:sz w:val="17"/>
              </w:rPr>
              <w:t>20 000 ₽</w:t>
            </w:r>
          </w:p>
        </w:tc>
        <w:tc>
          <w:tcPr>
            <w:tcW w:type="dxa" w:w="288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Доли определяем по подтверждённым обращениям, а не только по кликам</w:t>
            </w:r>
          </w:p>
        </w:tc>
        <w:tc>
          <w:tcPr>
            <w:tcW w:type="dxa" w:w="316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  <w:tcBorders>
              <w:top w:val="single" w:sz="5" w:color="D9DCE2"/>
              <w:left w:val="single" w:sz="5" w:color="D9DCE2"/>
              <w:bottom w:val="single" w:sz="5" w:color="D9DCE2"/>
              <w:right w:val="single" w:sz="5" w:color="D9DCE2"/>
            </w:tcBorders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191F"/>
                <w:sz w:val="17"/>
              </w:rPr>
              <w:t>Усиливаем лучшие товарные группы без автоматического роста бюджета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shd w:fill="FBEAEA"/>
            <w:tcBorders>
              <w:top w:val="single" w:sz="4" w:color="FBEAEA"/>
              <w:left w:val="single" w:sz="22" w:color="C82020"/>
              <w:bottom w:val="single" w:sz="4" w:color="FBEAEA"/>
              <w:right w:val="single" w:sz="4" w:color="FBEAEA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C82020"/>
                <w:sz w:val="20"/>
              </w:rPr>
              <w:t xml:space="preserve">Текущий остаток  </w:t>
            </w:r>
            <w:r>
              <w:rPr>
                <w:rFonts w:ascii="Arial" w:hAnsi="Arial" w:eastAsia="Arial"/>
                <w:b w:val="0"/>
                <w:i w:val="0"/>
                <w:color w:val="17191F"/>
                <w:sz w:val="20"/>
              </w:rPr>
              <w:t>С НДС из тестовых 10 000 ₽ использовано 6 755,91 ₽; остаётся 3 244,09 ₽.</w:t>
            </w:r>
          </w:p>
        </w:tc>
      </w:tr>
    </w:tbl>
    <w:p>
      <w:pPr>
        <w:spacing w:after="0"/>
      </w:pPr>
    </w:p>
    <w:p>
      <w:pPr>
        <w:pStyle w:val="Heading2"/>
      </w:pPr>
      <w:r>
        <w:t>Что делаем дальше</w:t>
      </w:r>
    </w:p>
    <w:p>
      <w:pPr>
        <w:keepNext w:val="0"/>
        <w:numPr>
          <w:ilvl w:val="0"/>
          <w:numId w:val="12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Дочищаем запросы. </w:t>
      </w:r>
      <w:r>
        <w:rPr>
          <w:rFonts w:ascii="Arial" w:hAnsi="Arial" w:eastAsia="Arial"/>
          <w:b w:val="0"/>
          <w:i w:val="0"/>
          <w:color w:val="17191F"/>
          <w:sz w:val="20"/>
        </w:rPr>
        <w:t>вносим новые минус-фразы и ежедневно проверяем, куда уходит бюджет автотаргетинга.</w:t>
      </w:r>
    </w:p>
    <w:p>
      <w:pPr>
        <w:keepNext w:val="0"/>
        <w:numPr>
          <w:ilvl w:val="0"/>
          <w:numId w:val="12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Продолжаем обе кампании. </w:t>
      </w:r>
      <w:r>
        <w:rPr>
          <w:rFonts w:ascii="Arial" w:hAnsi="Arial" w:eastAsia="Arial"/>
          <w:b w:val="0"/>
          <w:i w:val="0"/>
          <w:color w:val="17191F"/>
          <w:sz w:val="20"/>
        </w:rPr>
        <w:t>профнастил сохраняет сильный спрос, металлочерепица пока показывает более низкую стоимость контактного действия.</w:t>
      </w:r>
    </w:p>
    <w:p>
      <w:pPr>
        <w:keepNext w:val="0"/>
        <w:numPr>
          <w:ilvl w:val="0"/>
          <w:numId w:val="12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Сверяем с продажами. </w:t>
      </w:r>
      <w:r>
        <w:rPr>
          <w:rFonts w:ascii="Arial" w:hAnsi="Arial" w:eastAsia="Arial"/>
          <w:b w:val="0"/>
          <w:i w:val="0"/>
          <w:color w:val="17191F"/>
          <w:sz w:val="20"/>
        </w:rPr>
        <w:t>менеджер помечает качество каждого звонка, сообщения и письма, чтобы оптимизация шла по реальным обращениям.</w:t>
      </w:r>
    </w:p>
    <w:p>
      <w:pPr>
        <w:keepNext w:val="0"/>
        <w:numPr>
          <w:ilvl w:val="0"/>
          <w:numId w:val="12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Предлагаем отдельный SEO-этап. </w:t>
      </w:r>
      <w:r>
        <w:rPr>
          <w:rFonts w:ascii="Arial" w:hAnsi="Arial" w:eastAsia="Arial"/>
          <w:b w:val="0"/>
          <w:i w:val="0"/>
          <w:color w:val="17191F"/>
          <w:sz w:val="20"/>
        </w:rPr>
        <w:t>сначала согласовываем объём и стоимость, затем начинаем с цены, выбора для крыши и забора, размеров и калькулятора.</w:t>
      </w:r>
    </w:p>
    <w:p>
      <w:pPr>
        <w:keepNext w:val="0"/>
        <w:numPr>
          <w:ilvl w:val="0"/>
          <w:numId w:val="12"/>
        </w:numPr>
        <w:spacing w:before="0" w:after="100" w:line="269" w:lineRule="auto"/>
      </w:pPr>
      <w:r>
        <w:rPr>
          <w:rFonts w:ascii="Arial" w:hAnsi="Arial" w:eastAsia="Arial"/>
          <w:b/>
          <w:i w:val="0"/>
          <w:color w:val="17191F"/>
          <w:sz w:val="20"/>
        </w:rPr>
        <w:t xml:space="preserve">После тестовых 10 000 ₽. </w:t>
      </w:r>
      <w:r>
        <w:rPr>
          <w:rFonts w:ascii="Arial" w:hAnsi="Arial" w:eastAsia="Arial"/>
          <w:b w:val="0"/>
          <w:i w:val="0"/>
          <w:color w:val="17191F"/>
          <w:sz w:val="20"/>
        </w:rPr>
        <w:t>распределяем оставшиеся 20 000 ₽ по цене качественной заявки и согласованным приоритетам бизнеса.</w:t>
      </w:r>
    </w:p>
    <w:p>
      <w:pPr>
        <w:pStyle w:val="Heading2"/>
      </w:pPr>
      <w:r>
        <w:t>Что нужно подтвердить у клиента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Какие профили, покрытия и цвета сейчас важнее по наличию и маржинальности.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Какие обращения считаются качественными и какие завершились продажей.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Нужно ли следующим отдельным направлением запускать евроштакетник.</w:t>
      </w:r>
    </w:p>
    <w:p>
      <w:pPr>
        <w:pStyle w:val="ListBullet"/>
        <w:keepNext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17191F"/>
          <w:sz w:val="19"/>
        </w:rPr>
        <w:t>Готов ли клиент отдельно заказать SEO-продвижение по выявленным темам спроса.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shd w:fill="EAF5EF"/>
            <w:tcBorders>
              <w:top w:val="single" w:sz="4" w:color="EAF5EF"/>
              <w:left w:val="single" w:sz="22" w:color="2E7D50"/>
              <w:bottom w:val="single" w:sz="4" w:color="EAF5EF"/>
              <w:right w:val="single" w:sz="4" w:color="EAF5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/>
                <w:i w:val="0"/>
                <w:color w:val="2E7D50"/>
                <w:sz w:val="20"/>
              </w:rPr>
              <w:t xml:space="preserve">Итог  </w:t>
            </w:r>
            <w:r>
              <w:rPr>
                <w:rFonts w:ascii="Arial" w:hAnsi="Arial" w:eastAsia="Arial"/>
                <w:b w:val="0"/>
                <w:i w:val="0"/>
                <w:color w:val="17191F"/>
                <w:sz w:val="20"/>
              </w:rPr>
              <w:t>Реклама уже даёт измеримые контактные действия. Ближайшая задача - уменьшить долю нецелевого спроса и связать статистику Директа с реальными продажами.</w:t>
            </w:r>
          </w:p>
        </w:tc>
      </w:tr>
    </w:tbl>
    <w:p>
      <w:pPr>
        <w:spacing w:after="0"/>
      </w:pPr>
    </w:p>
    <w:p>
      <w:pPr>
        <w:keepNext w:val="0"/>
        <w:spacing w:before="180" w:after="0" w:line="269" w:lineRule="auto"/>
      </w:pPr>
      <w:r>
        <w:rPr>
          <w:rFonts w:ascii="Arial" w:hAnsi="Arial" w:eastAsia="Arial"/>
          <w:b/>
          <w:i w:val="0"/>
          <w:color w:val="C82020"/>
          <w:sz w:val="20"/>
        </w:rPr>
        <w:t>Отчёт подготовлен MENTORI  •  mentori.tech</w:t>
      </w:r>
    </w:p>
    <w:sectPr w:rsidR="00FC693F" w:rsidRPr="0006063C" w:rsidSect="00034616">
      <w:headerReference w:type="default" r:id="rId15"/>
      <w:footerReference w:type="default" r:id="rId16"/>
      <w:pgSz w:w="12240" w:h="15840"/>
      <w:pgMar w:top="1037" w:right="1440" w:bottom="893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69" w:lineRule="auto"/>
    </w:pPr>
    <w:r>
      <w:rPr>
        <w:rFonts w:ascii="Arial" w:hAnsi="Arial" w:eastAsia="Arial"/>
        <w:b w:val="0"/>
        <w:i w:val="0"/>
        <w:color w:val="626773"/>
        <w:sz w:val="15"/>
      </w:rPr>
      <w:t>Срез на 5 августа 2026  •  metallomsk.ru  •  mentori.tech</w:t>
    </w:r>
    <w:r>
      <w:t xml:space="preserve">        </w:t>
    </w:r>
    <w:r>
      <w:rPr>
        <w:rFonts w:ascii="Arial" w:hAnsi="Arial" w:eastAsia="Arial"/>
        <w:b w:val="0"/>
        <w:i w:val="0"/>
        <w:color w:val="626773"/>
        <w:sz w:val="15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69" w:lineRule="auto"/>
      <w:jc w:val="right"/>
    </w:pPr>
    <w:r>
      <w:rPr>
        <w:rFonts w:ascii="Arial" w:hAnsi="Arial" w:eastAsia="Arial"/>
        <w:b/>
        <w:i w:val="0"/>
        <w:color w:val="626773"/>
        <w:sz w:val="15"/>
      </w:rPr>
      <w:t>СПЕКТР МЕТАЛЛА  |  ЯНДЕКС.ДИРЕКТ  |  MENTORI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6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719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C820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191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0"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92C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Результаты Яндекс.Директа и точки роста - Спектр Металла</dc:title>
  <dc:subject>Профнастил и металлочерепица, 29 июля - 5 августа 2026</dc:subject>
  <dc:creator>MENTORI</dc:creator>
  <cp:keywords>Яндекс.Директ, SEO, профнастил, металлочерепица, Омск, отчёт, MENTORI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