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AC7" w:rsidRDefault="00D35AC7" w:rsidP="00D35AC7">
      <w:pPr>
        <w:pStyle w:val="a3"/>
        <w:jc w:val="right"/>
      </w:pPr>
      <w:r>
        <w:t>Сидоренко Данил Дмитриевич</w:t>
      </w:r>
      <w:r>
        <w:br/>
      </w:r>
      <w:r w:rsidRPr="00D35AC7">
        <w:t>Санкт-Петербургский политехнический университет Петра Великого</w:t>
      </w:r>
    </w:p>
    <w:p w:rsidR="005E00A6" w:rsidRPr="00D35AC7" w:rsidRDefault="00D35AC7" w:rsidP="00D35AC7">
      <w:pPr>
        <w:pStyle w:val="a3"/>
        <w:ind w:firstLine="0"/>
        <w:jc w:val="center"/>
      </w:pPr>
      <w:r w:rsidRPr="00D35AC7">
        <w:t xml:space="preserve">ОПТИМИЗАЦИЯ РЕШЕНИЯ ОЗК НА МИКРОКОНТРОЛЛЕРАХ </w:t>
      </w:r>
      <w:r w:rsidRPr="00D35AC7">
        <w:rPr>
          <w:lang w:val="en-US"/>
        </w:rPr>
        <w:t>STM</w:t>
      </w:r>
      <w:r w:rsidRPr="00D35AC7">
        <w:t>32</w:t>
      </w:r>
      <w:r w:rsidRPr="00D35AC7">
        <w:rPr>
          <w:lang w:val="en-US"/>
        </w:rPr>
        <w:t>F</w:t>
      </w:r>
      <w:r w:rsidRPr="00D35AC7">
        <w:t>1 ДЛЯ РУЧНОГО УПРАВЛЕНИЯ ПЯТИ ОСЕВЫМ МАНИПУЛЯТОРОМ.</w:t>
      </w:r>
    </w:p>
    <w:p w:rsidR="00BC14FC" w:rsidRDefault="00BC14FC" w:rsidP="0079783B">
      <w:pPr>
        <w:pStyle w:val="a3"/>
      </w:pPr>
      <w:r w:rsidRPr="00020086">
        <w:rPr>
          <w:i/>
        </w:rPr>
        <w:t>Аннотация</w:t>
      </w:r>
      <w:r w:rsidR="0079783B" w:rsidRPr="0079783B">
        <w:t xml:space="preserve">. Оптимизация алгоритмов управления манипуляторами в ручном режиме необходима для предотвращения задержек в управлении при использовании дистанционного управления. Необходимость применения помехоустойчивых методов передачи данных, а также расстояние передачи играют большую роль в задержке управления оператором. В данной статье рассматривается классический метод решения ОЗК с помощью формализма </w:t>
      </w:r>
      <w:proofErr w:type="spellStart"/>
      <w:r w:rsidR="0079783B" w:rsidRPr="0079783B">
        <w:t>Денавита-Хартенберга</w:t>
      </w:r>
      <w:proofErr w:type="spellEnd"/>
      <w:r w:rsidR="0079783B" w:rsidRPr="0079783B">
        <w:t>, а также приводится два варианта его оптимизации, что должно положительным образом сказать на сокращении задержки управления и повысить удобство управления манипулятором</w:t>
      </w:r>
      <w:r w:rsidR="0079783B">
        <w:t xml:space="preserve"> в ручном режиме на большой дистанции. </w:t>
      </w:r>
      <w:r w:rsidR="002600C8">
        <w:t>В качестве первого варианта оптимизации рассмотрено применение геометрического описания кинематических связей между шарнирами манипулятора. В качестве второго варианта рассмотрено применение заранее просчитанных функциональных массивов вместо использования тригонометрических функций, а та</w:t>
      </w:r>
      <w:bookmarkStart w:id="0" w:name="_GoBack"/>
      <w:bookmarkEnd w:id="0"/>
      <w:r w:rsidR="002600C8">
        <w:t>кже переход только на целочисленные операции.</w:t>
      </w:r>
    </w:p>
    <w:p w:rsidR="00BC14FC" w:rsidRPr="002600C8" w:rsidRDefault="00BC14FC" w:rsidP="00020086">
      <w:pPr>
        <w:pStyle w:val="a3"/>
      </w:pPr>
      <w:r w:rsidRPr="002600C8">
        <w:rPr>
          <w:i/>
        </w:rPr>
        <w:t>Ключевые слова</w:t>
      </w:r>
      <w:r w:rsidR="0079783B">
        <w:t xml:space="preserve">. </w:t>
      </w:r>
      <w:r w:rsidR="00020086">
        <w:t xml:space="preserve">Робототехника, манипулятор, </w:t>
      </w:r>
      <w:r w:rsidR="002600C8">
        <w:t xml:space="preserve">обратная задача кинематики, </w:t>
      </w:r>
      <w:r w:rsidR="002600C8">
        <w:rPr>
          <w:lang w:val="en-US"/>
        </w:rPr>
        <w:t>STM</w:t>
      </w:r>
      <w:r w:rsidR="002600C8" w:rsidRPr="002600C8">
        <w:t>32</w:t>
      </w:r>
      <w:r w:rsidR="002600C8">
        <w:t xml:space="preserve">, </w:t>
      </w:r>
      <w:r w:rsidR="002600C8" w:rsidRPr="0079783B">
        <w:t>формали</w:t>
      </w:r>
      <w:r w:rsidR="002600C8">
        <w:t>зм</w:t>
      </w:r>
      <w:r w:rsidR="002600C8" w:rsidRPr="0079783B">
        <w:t xml:space="preserve"> </w:t>
      </w:r>
      <w:proofErr w:type="spellStart"/>
      <w:r w:rsidR="002600C8" w:rsidRPr="0079783B">
        <w:t>Денавита-Хартенберга</w:t>
      </w:r>
      <w:proofErr w:type="spellEnd"/>
      <w:r w:rsidR="002600C8">
        <w:t xml:space="preserve">, </w:t>
      </w:r>
      <w:r w:rsidR="00652FAC">
        <w:t>числа с плавающей точкой, ручное управление манипулятором.</w:t>
      </w:r>
    </w:p>
    <w:p w:rsidR="00994610" w:rsidRDefault="002600C8" w:rsidP="00020086">
      <w:pPr>
        <w:pStyle w:val="a3"/>
      </w:pPr>
      <w:r w:rsidRPr="002600C8">
        <w:rPr>
          <w:i/>
        </w:rPr>
        <w:t>Ведение</w:t>
      </w:r>
      <w:r>
        <w:t xml:space="preserve">. </w:t>
      </w:r>
      <w:r w:rsidR="008F52E1">
        <w:t>Бортовые системы управления мобильными манипуляторами</w:t>
      </w:r>
      <w:r w:rsidR="00002AD6">
        <w:t xml:space="preserve"> с ручным управлением</w:t>
      </w:r>
      <w:r w:rsidR="008F52E1">
        <w:t xml:space="preserve"> </w:t>
      </w:r>
      <w:r w:rsidR="004026FC">
        <w:t xml:space="preserve">не редко разрабатываются для микропроцессоров, не обладающих большой вычислительной мощностью. </w:t>
      </w:r>
      <w:r w:rsidR="003B4A48">
        <w:t>В связи с этим появляется необходимость оптимизации алгоритмов управления. Наиболее затратная для вычислений</w:t>
      </w:r>
      <w:r w:rsidR="00002AD6">
        <w:t xml:space="preserve"> часть системы управления является решение обратной задачи кинематики при позиционировании рабочего органа манипулятора. </w:t>
      </w:r>
      <w:r w:rsidR="00293518">
        <w:t xml:space="preserve">Существует несколько методов решения ОЗК для манипуляторов. В данной </w:t>
      </w:r>
      <w:r w:rsidR="00293518">
        <w:lastRenderedPageBreak/>
        <w:t xml:space="preserve">статье </w:t>
      </w:r>
      <w:proofErr w:type="spellStart"/>
      <w:r w:rsidR="00293518">
        <w:t>представленно</w:t>
      </w:r>
      <w:proofErr w:type="spellEnd"/>
      <w:r w:rsidR="00293518">
        <w:t xml:space="preserve"> сравнение двух методов решения ОЗК: с помощью формализма ДХ и через геометрическое представление кинематических связей, так же предложен метод оптимизации решения ОЗК и приведено с</w:t>
      </w:r>
      <w:r w:rsidR="00615650">
        <w:t>равнение предложенного метода оптимизации.</w:t>
      </w:r>
    </w:p>
    <w:p w:rsidR="00615650" w:rsidRDefault="002600C8" w:rsidP="00020086">
      <w:pPr>
        <w:pStyle w:val="a3"/>
      </w:pPr>
      <w:r w:rsidRPr="002600C8">
        <w:rPr>
          <w:i/>
        </w:rPr>
        <w:t xml:space="preserve">Применение формализма </w:t>
      </w:r>
      <w:proofErr w:type="spellStart"/>
      <w:r w:rsidRPr="002600C8">
        <w:rPr>
          <w:i/>
        </w:rPr>
        <w:t>Денавита-Хартенберга</w:t>
      </w:r>
      <w:proofErr w:type="spellEnd"/>
      <w:r>
        <w:t xml:space="preserve">. </w:t>
      </w:r>
      <w:r w:rsidR="001777EA">
        <w:t xml:space="preserve">Манипулятор управляется в ручном режиме управления с помощью задающих рукояток. Оператор наклоном ЗР задает скорость перемещения ЗУ по одной из доступных координат. В качестве доступных координат выступают 3 декартовые оси </w:t>
      </w:r>
      <w:r w:rsidR="001777EA">
        <w:rPr>
          <w:lang w:val="en-US"/>
        </w:rPr>
        <w:t>x</w:t>
      </w:r>
      <w:r w:rsidR="001777EA" w:rsidRPr="001777EA">
        <w:t xml:space="preserve">, </w:t>
      </w:r>
      <w:r w:rsidR="001777EA">
        <w:rPr>
          <w:lang w:val="en-US"/>
        </w:rPr>
        <w:t>y</w:t>
      </w:r>
      <w:r w:rsidR="001777EA" w:rsidRPr="001777EA">
        <w:t xml:space="preserve"> </w:t>
      </w:r>
      <w:r w:rsidR="001777EA">
        <w:rPr>
          <w:lang w:val="en-US"/>
        </w:rPr>
        <w:t>b</w:t>
      </w:r>
      <w:r w:rsidR="001777EA" w:rsidRPr="001777EA">
        <w:t xml:space="preserve"> </w:t>
      </w:r>
      <w:r w:rsidR="001777EA">
        <w:rPr>
          <w:lang w:val="en-US"/>
        </w:rPr>
        <w:t>z</w:t>
      </w:r>
      <w:r w:rsidR="001777EA">
        <w:t xml:space="preserve">, а также вращение вокруг осей </w:t>
      </w:r>
      <w:r w:rsidR="001777EA">
        <w:rPr>
          <w:lang w:val="en-US"/>
        </w:rPr>
        <w:t>x</w:t>
      </w:r>
      <w:r w:rsidR="001777EA" w:rsidRPr="001777EA">
        <w:t xml:space="preserve"> </w:t>
      </w:r>
      <w:r w:rsidR="001777EA">
        <w:t>и</w:t>
      </w:r>
      <w:r w:rsidR="001777EA" w:rsidRPr="001777EA">
        <w:t xml:space="preserve"> </w:t>
      </w:r>
      <w:r w:rsidR="001777EA">
        <w:rPr>
          <w:lang w:val="en-US"/>
        </w:rPr>
        <w:t>y</w:t>
      </w:r>
      <w:r w:rsidR="001777EA">
        <w:t>.</w:t>
      </w:r>
      <w:r w:rsidR="00B22023">
        <w:t xml:space="preserve"> В приведенной системе управления в манипуляторе отсутствует возможности поворота ЗУ вокруг оси </w:t>
      </w:r>
      <w:r w:rsidR="00B22023">
        <w:rPr>
          <w:lang w:val="en-US"/>
        </w:rPr>
        <w:t>z</w:t>
      </w:r>
      <w:r w:rsidR="00B22023">
        <w:t>.</w:t>
      </w:r>
      <w:r w:rsidR="001777EA">
        <w:t xml:space="preserve"> В технике принято вращение вокруг продольной оси нарывать креном, а вокруг поперечной </w:t>
      </w:r>
      <w:proofErr w:type="spellStart"/>
      <w:r w:rsidR="001777EA">
        <w:t>тангажом</w:t>
      </w:r>
      <w:proofErr w:type="spellEnd"/>
      <w:r w:rsidR="001777EA">
        <w:t xml:space="preserve">. </w:t>
      </w:r>
      <w:r w:rsidR="00B4788B">
        <w:t xml:space="preserve">Так как </w:t>
      </w:r>
      <w:r w:rsidR="00B4788B" w:rsidRPr="00913731">
        <w:t>изменение</w:t>
      </w:r>
      <w:r w:rsidR="00B4788B">
        <w:t xml:space="preserve"> ориентирующих координат не требуют контроля скорости, то за контроль скорости изменения углов </w:t>
      </w:r>
      <w:proofErr w:type="spellStart"/>
      <w:r w:rsidR="00B4788B">
        <w:t>тангажа</w:t>
      </w:r>
      <w:proofErr w:type="spellEnd"/>
      <w:r w:rsidR="00B4788B">
        <w:t xml:space="preserve"> и крена отвечают трехпозиционные переключ</w:t>
      </w:r>
      <w:r w:rsidR="004419C5">
        <w:t>атели, которые позволяют менять значения ориентирующих координат с линейной скоростью. Все решения ОЗК опираются на базовую систему координат, которая жестко связана с основанием манипулятора. Схема расположения БСК, системы координат звеньев и системы координат ЗУ приведена на рисунке 1.</w:t>
      </w:r>
    </w:p>
    <w:p w:rsidR="00CC72A7" w:rsidRDefault="00B04DBC" w:rsidP="00CC72A7">
      <w:pPr>
        <w:pStyle w:val="a6"/>
      </w:pPr>
      <w:r>
        <w:rPr>
          <w:noProof/>
          <w:lang w:eastAsia="ru-RU"/>
        </w:rPr>
        <w:drawing>
          <wp:inline distT="0" distB="0" distL="0" distR="0">
            <wp:extent cx="5943600" cy="2362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9C5" w:rsidRPr="00CC72A7" w:rsidRDefault="00CC72A7" w:rsidP="00CC72A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– </w:t>
      </w:r>
      <w:r>
        <w:t>Системы координат манипулятора</w:t>
      </w:r>
    </w:p>
    <w:p w:rsidR="004419C5" w:rsidRDefault="00A96022" w:rsidP="00020086">
      <w:pPr>
        <w:pStyle w:val="a3"/>
      </w:pPr>
      <w:r>
        <w:lastRenderedPageBreak/>
        <w:t xml:space="preserve">На рисунке 1 </w:t>
      </w:r>
      <w:r>
        <w:rPr>
          <w:lang w:val="en-US"/>
        </w:rPr>
        <w:t>x</w:t>
      </w:r>
      <w:r w:rsidR="00EA4091">
        <w:t>Б</w:t>
      </w:r>
      <w:r w:rsidRPr="00A96022">
        <w:t xml:space="preserve">, </w:t>
      </w:r>
      <w:r>
        <w:rPr>
          <w:lang w:val="en-US"/>
        </w:rPr>
        <w:t>y</w:t>
      </w:r>
      <w:r w:rsidR="00EA4091">
        <w:t>Б</w:t>
      </w:r>
      <w:r w:rsidRPr="00A96022">
        <w:t xml:space="preserve">, </w:t>
      </w:r>
      <w:r>
        <w:rPr>
          <w:lang w:val="en-US"/>
        </w:rPr>
        <w:t>z</w:t>
      </w:r>
      <w:r w:rsidR="00EA4091">
        <w:t>Б</w:t>
      </w:r>
      <w:r>
        <w:t xml:space="preserve"> – базовая система координат; </w:t>
      </w:r>
      <w:r>
        <w:rPr>
          <w:lang w:val="en-US"/>
        </w:rPr>
        <w:t>x</w:t>
      </w:r>
      <w:r w:rsidRPr="00A96022">
        <w:t xml:space="preserve">6, </w:t>
      </w:r>
      <w:r>
        <w:rPr>
          <w:lang w:val="en-US"/>
        </w:rPr>
        <w:t>y</w:t>
      </w:r>
      <w:r w:rsidRPr="00A96022">
        <w:t xml:space="preserve">6, </w:t>
      </w:r>
      <w:r>
        <w:rPr>
          <w:lang w:val="en-US"/>
        </w:rPr>
        <w:t>z</w:t>
      </w:r>
      <w:r w:rsidRPr="00A96022">
        <w:t xml:space="preserve">6 </w:t>
      </w:r>
      <w:r>
        <w:t>–</w:t>
      </w:r>
      <w:r w:rsidRPr="00A96022">
        <w:t xml:space="preserve"> </w:t>
      </w:r>
      <w:r>
        <w:t xml:space="preserve">система координат ЗУ; </w:t>
      </w:r>
      <w:r>
        <w:rPr>
          <w:lang w:val="en-US"/>
        </w:rPr>
        <w:t>Li</w:t>
      </w:r>
      <w:r w:rsidRPr="00A96022">
        <w:t xml:space="preserve"> </w:t>
      </w:r>
      <w:r>
        <w:t>–</w:t>
      </w:r>
      <w:r w:rsidRPr="00A96022">
        <w:t xml:space="preserve"> </w:t>
      </w:r>
      <w:r>
        <w:t>длины соответствующих звеньев.</w:t>
      </w:r>
      <w:r w:rsidR="00EA4091">
        <w:t xml:space="preserve"> </w:t>
      </w:r>
    </w:p>
    <w:p w:rsidR="00A96022" w:rsidRDefault="00A96022" w:rsidP="00020086">
      <w:pPr>
        <w:pStyle w:val="a3"/>
      </w:pPr>
      <w:r>
        <w:t xml:space="preserve">Выбор БЗК и систем координат звеньев был выполнен исходя из формализма </w:t>
      </w:r>
      <w:proofErr w:type="spellStart"/>
      <w:r w:rsidR="00EA4091" w:rsidRPr="00EA4091">
        <w:t>Денавита-Хартенберга</w:t>
      </w:r>
      <w:proofErr w:type="spellEnd"/>
      <w:r>
        <w:t xml:space="preserve">. </w:t>
      </w:r>
      <w:r w:rsidR="00EA4091">
        <w:t xml:space="preserve">Оси вращения кинематических пар соответствуют осям </w:t>
      </w:r>
      <w:proofErr w:type="spellStart"/>
      <w:r w:rsidR="00EA4091">
        <w:rPr>
          <w:lang w:val="en-US"/>
        </w:rPr>
        <w:t>zi</w:t>
      </w:r>
      <w:proofErr w:type="spellEnd"/>
      <w:r w:rsidR="00EA4091">
        <w:t xml:space="preserve"> соответствующих звеньев. При этом на рисунке 1 нумераци</w:t>
      </w:r>
      <w:r w:rsidR="00DD2B73">
        <w:t>я звеньев начинается с 0, а так</w:t>
      </w:r>
      <w:r w:rsidR="00EA4091">
        <w:t xml:space="preserve">же пятая и шестая системы координат находятся на конце ЗУ и не учувствуют в передаче моментов вращения на звенья. </w:t>
      </w:r>
      <w:r w:rsidR="00DD2B73">
        <w:t>Формализм ДХ подразумевает возможность решения как прямой, так и обратной кинематических задач путем решения матричного уравнения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DD2B73" w:rsidTr="00614D6F">
        <w:tc>
          <w:tcPr>
            <w:tcW w:w="8642" w:type="dxa"/>
          </w:tcPr>
          <w:p w:rsidR="00DD2B73" w:rsidRDefault="006F3852" w:rsidP="0079783B">
            <w:pPr>
              <w:pStyle w:val="a3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DD2B73" w:rsidRPr="000E3B84" w:rsidRDefault="00DD2B73" w:rsidP="00614D6F">
            <w:pPr>
              <w:pStyle w:val="a6"/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D2B73" w:rsidRDefault="00DD2B73" w:rsidP="004419C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D2B73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2B7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матрица переноса соответствующего звена,</w:t>
      </w:r>
      <w:r w:rsidRPr="00DD2B73">
        <w:rPr>
          <w:rFonts w:ascii="Times New Roman" w:eastAsiaTheme="minorEastAsia" w:hAnsi="Times New Roman" w:cs="Times New Roman"/>
          <w:sz w:val="28"/>
          <w:szCs w:val="28"/>
        </w:rPr>
        <w:t xml:space="preserve"> 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матрица положения перехода то БСК к системе координат ЗУ.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вид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DD2B73" w:rsidTr="00614D6F">
        <w:tc>
          <w:tcPr>
            <w:tcW w:w="8642" w:type="dxa"/>
          </w:tcPr>
          <w:p w:rsidR="00DD2B73" w:rsidRPr="00C356CC" w:rsidRDefault="006F3852" w:rsidP="0079783B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0      </m:t>
                                  </m:r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0       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        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  <w:p w:rsidR="00DD2B73" w:rsidRDefault="00DD2B73" w:rsidP="0079783B">
            <w:pPr>
              <w:pStyle w:val="a3"/>
            </w:pPr>
          </w:p>
        </w:tc>
        <w:tc>
          <w:tcPr>
            <w:tcW w:w="703" w:type="dxa"/>
            <w:vAlign w:val="center"/>
          </w:tcPr>
          <w:p w:rsidR="00DD2B73" w:rsidRDefault="00DD2B73" w:rsidP="00614D6F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Формула \* ARABIC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2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  <w:p w:rsidR="00DD2B73" w:rsidRPr="000E3B84" w:rsidRDefault="00DD2B73" w:rsidP="00614D6F">
            <w:pPr>
              <w:pStyle w:val="a6"/>
              <w:keepNext/>
              <w:jc w:val="right"/>
            </w:pPr>
          </w:p>
        </w:tc>
      </w:tr>
    </w:tbl>
    <w:p w:rsidR="00DE7C7F" w:rsidRDefault="00DE7C7F" w:rsidP="00020086">
      <w:pPr>
        <w:pStyle w:val="a3"/>
      </w:pPr>
      <w:r>
        <w:t>В формуле</w:t>
      </w:r>
      <w:r w:rsidRPr="00DE7C7F">
        <w:t xml:space="preserve">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E7C7F">
        <w:t xml:space="preserve">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являются параметрами Денавита-Хартенберга,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длина соответствующего звена. Присоединительной угловой координатой звена является </w:t>
      </w:r>
      <w:r w:rsidRPr="00DE7C7F">
        <w:t xml:space="preserve">параметр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</w:t>
      </w:r>
    </w:p>
    <w:p w:rsidR="00DD2B73" w:rsidRPr="00DE7C7F" w:rsidRDefault="00DE7C7F" w:rsidP="00020086">
      <w:pPr>
        <w:pStyle w:val="a3"/>
      </w:pPr>
      <w:r>
        <w:t xml:space="preserve">Матрица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</m:oMath>
      <w:r>
        <w:t xml:space="preserve"> имеет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DE7C7F" w:rsidTr="00614D6F">
        <w:tc>
          <w:tcPr>
            <w:tcW w:w="8642" w:type="dxa"/>
          </w:tcPr>
          <w:p w:rsidR="00DE7C7F" w:rsidRPr="00C40DC7" w:rsidRDefault="006F3852" w:rsidP="0079783B">
            <w:pPr>
              <w:pStyle w:val="a3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  <w:p w:rsidR="00DE7C7F" w:rsidRDefault="00DE7C7F" w:rsidP="00614D6F">
            <w:pPr>
              <w:pStyle w:val="a6"/>
            </w:pPr>
          </w:p>
        </w:tc>
        <w:tc>
          <w:tcPr>
            <w:tcW w:w="703" w:type="dxa"/>
            <w:vAlign w:val="center"/>
          </w:tcPr>
          <w:p w:rsidR="00DE7C7F" w:rsidRPr="000E3B84" w:rsidRDefault="00DE7C7F" w:rsidP="00614D6F">
            <w:pPr>
              <w:pStyle w:val="a6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E7C7F" w:rsidRDefault="00DE7C7F" w:rsidP="00020086">
      <w:pPr>
        <w:pStyle w:val="a3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40DC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40DC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40DC7">
        <w:t xml:space="preserve"> – </w:t>
      </w:r>
      <w:r w:rsidR="00B22023">
        <w:t>нормали системы ЗУ</w:t>
      </w:r>
      <w: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вектор положения координат захватного устройства относительно базовой системы координат</w:t>
      </w:r>
    </w:p>
    <w:p w:rsidR="00B22023" w:rsidRDefault="00B22023" w:rsidP="00020086">
      <w:pPr>
        <w:pStyle w:val="a3"/>
        <w:rPr>
          <w:rFonts w:eastAsiaTheme="minorEastAsia"/>
        </w:rPr>
      </w:pPr>
      <w:r>
        <w:t xml:space="preserve">Как видно из формулы (3) для представления ориентирующих координат формализм ДХ использует 9 параметров. Оператор управляет </w:t>
      </w:r>
      <w:r>
        <w:lastRenderedPageBreak/>
        <w:t xml:space="preserve">двумя ориентационными углами. Данное несоответствие приводит к необходимости перевода ориентационных координат, задаваемых оператором, в форму матрицы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</m:oMath>
      <w:r>
        <w:rPr>
          <w:rFonts w:eastAsiaTheme="minorEastAsia"/>
        </w:rPr>
        <w:t xml:space="preserve">. </w:t>
      </w:r>
      <w:r w:rsidR="009D53D9">
        <w:rPr>
          <w:rFonts w:eastAsiaTheme="minorEastAsia"/>
        </w:rPr>
        <w:t xml:space="preserve">Операция перевода координат требует вычисления сравнимого количества тригонометрических функций с операцией нахождения нового положения манипулятора, согласно заданным скоростям. </w:t>
      </w:r>
      <w:r w:rsidR="009D53D9" w:rsidRPr="00913731">
        <w:rPr>
          <w:rFonts w:eastAsiaTheme="minorEastAsia"/>
        </w:rPr>
        <w:t xml:space="preserve">Так же перевод углов крена и </w:t>
      </w:r>
      <w:proofErr w:type="spellStart"/>
      <w:r w:rsidR="009D53D9" w:rsidRPr="00913731">
        <w:rPr>
          <w:rFonts w:eastAsiaTheme="minorEastAsia"/>
        </w:rPr>
        <w:t>тангажа</w:t>
      </w:r>
      <w:proofErr w:type="spellEnd"/>
      <w:r w:rsidR="009D53D9" w:rsidRPr="00913731">
        <w:rPr>
          <w:rFonts w:eastAsiaTheme="minorEastAsia"/>
        </w:rPr>
        <w:t xml:space="preserve"> в матрицу перехода не целесообразен из-за конструктивного отсутствия в манипуляторе возможности вращать ЗУ относительно </w:t>
      </w:r>
      <w:r w:rsidR="00B00E38" w:rsidRPr="00913731">
        <w:rPr>
          <w:rFonts w:eastAsiaTheme="minorEastAsia"/>
        </w:rPr>
        <w:t xml:space="preserve">оси </w:t>
      </w:r>
      <w:r w:rsidR="00B00E38" w:rsidRPr="00913731">
        <w:rPr>
          <w:rFonts w:eastAsiaTheme="minorEastAsia"/>
          <w:lang w:val="en-US"/>
        </w:rPr>
        <w:t>z</w:t>
      </w:r>
      <w:r w:rsidR="00913731" w:rsidRPr="00913731">
        <w:rPr>
          <w:rFonts w:eastAsiaTheme="minorEastAsia"/>
        </w:rPr>
        <w:t>.</w:t>
      </w:r>
      <w:r w:rsidR="00B00E38">
        <w:rPr>
          <w:rFonts w:eastAsiaTheme="minorEastAsia"/>
        </w:rPr>
        <w:t xml:space="preserve"> </w:t>
      </w:r>
    </w:p>
    <w:p w:rsidR="00CC72A7" w:rsidRDefault="002600C8" w:rsidP="00CC72A7">
      <w:pPr>
        <w:pStyle w:val="a3"/>
        <w:keepNext/>
        <w:rPr>
          <w:rFonts w:eastAsiaTheme="minorEastAsia"/>
          <w:color w:val="000000" w:themeColor="text1"/>
        </w:rPr>
      </w:pPr>
      <w:r w:rsidRPr="002600C8">
        <w:rPr>
          <w:i/>
        </w:rPr>
        <w:t>Применение геометрического подхода</w:t>
      </w:r>
      <w:r>
        <w:t xml:space="preserve">. </w:t>
      </w:r>
      <w:r w:rsidR="00ED1954">
        <w:t xml:space="preserve">Для сокращения количества выполняемых операций применим геометрический подход к решению ОЗК. В данном методе кинематические связи описывается </w:t>
      </w:r>
      <w:r w:rsidR="0098528B">
        <w:t xml:space="preserve">с помощью геометрических законов. </w:t>
      </w:r>
      <w:r w:rsidR="00C97717">
        <w:t xml:space="preserve">Геометрический подход позволяет сократить число неизвестных в уравнениях для ОЗК тем, что значение угла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</m:oMath>
      <w:r w:rsidR="00C97717">
        <w:rPr>
          <w:rFonts w:eastAsiaTheme="minorEastAsia"/>
          <w:color w:val="000000" w:themeColor="text1"/>
        </w:rPr>
        <w:t xml:space="preserve"> и может быть использовано без преобразований. </w:t>
      </w:r>
      <w:r w:rsidR="00DC0637">
        <w:rPr>
          <w:rFonts w:eastAsiaTheme="minorEastAsia"/>
          <w:color w:val="000000" w:themeColor="text1"/>
        </w:rPr>
        <w:t xml:space="preserve">Для данного метода требуется рассмотреть геометрические взаимосвязи углов и </w:t>
      </w:r>
      <w:r w:rsidR="00CC72A7">
        <w:rPr>
          <w:rFonts w:eastAsiaTheme="minorEastAsia"/>
          <w:color w:val="000000" w:themeColor="text1"/>
        </w:rPr>
        <w:t>линейных размеров, представленных на рисунке 2.</w:t>
      </w:r>
    </w:p>
    <w:p w:rsidR="00CC72A7" w:rsidRPr="00CC72A7" w:rsidRDefault="00DC0637" w:rsidP="00CC72A7">
      <w:pPr>
        <w:pStyle w:val="a6"/>
      </w:pPr>
      <w:r w:rsidRPr="00CC72A7">
        <w:drawing>
          <wp:inline distT="0" distB="0" distL="0" distR="0" wp14:anchorId="3C5900AF" wp14:editId="3D7C1EF4">
            <wp:extent cx="5673436" cy="311012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1633" t="5145" r="2848" b="6001"/>
                    <a:stretch/>
                  </pic:blipFill>
                  <pic:spPr bwMode="auto">
                    <a:xfrm>
                      <a:off x="0" y="0"/>
                      <a:ext cx="5674222" cy="311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637" w:rsidRPr="00CC72A7" w:rsidRDefault="00CC72A7" w:rsidP="00CC72A7">
      <w:pPr>
        <w:pStyle w:val="a6"/>
      </w:pPr>
      <w:r w:rsidRPr="00CC72A7">
        <w:t xml:space="preserve">Рисунок </w:t>
      </w:r>
      <w:r w:rsidRPr="00CC72A7">
        <w:fldChar w:fldCharType="begin"/>
      </w:r>
      <w:r w:rsidRPr="00CC72A7">
        <w:instrText xml:space="preserve"> SEQ Рисунок \* ARABIC </w:instrText>
      </w:r>
      <w:r w:rsidRPr="00CC72A7">
        <w:fldChar w:fldCharType="separate"/>
      </w:r>
      <w:r>
        <w:rPr>
          <w:noProof/>
        </w:rPr>
        <w:t>2</w:t>
      </w:r>
      <w:r w:rsidRPr="00CC72A7">
        <w:fldChar w:fldCharType="end"/>
      </w:r>
      <w:r w:rsidRPr="00CC72A7">
        <w:t xml:space="preserve"> – Геометрическое описание манипулятора</w:t>
      </w:r>
    </w:p>
    <w:p w:rsidR="00DC0637" w:rsidRDefault="00DC0637" w:rsidP="00020086">
      <w:pPr>
        <w:pStyle w:val="a3"/>
      </w:pPr>
      <w:r>
        <w:t>Так же для сокращения вычислений БСК перенесена в точку сочленения первого и второго звеньев.</w:t>
      </w:r>
    </w:p>
    <w:p w:rsidR="00ED1954" w:rsidRDefault="00DC0637" w:rsidP="00020086">
      <w:pPr>
        <w:pStyle w:val="a3"/>
      </w:pPr>
      <w:r>
        <w:lastRenderedPageBreak/>
        <w:t>Пример расчета одной из обобщенных</w:t>
      </w:r>
      <w:r w:rsidR="00795C55">
        <w:t xml:space="preserve"> координат приведен в формулах 4 - 9.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795C55" w:rsidTr="00795C55">
        <w:tc>
          <w:tcPr>
            <w:tcW w:w="8642" w:type="dxa"/>
          </w:tcPr>
          <w:p w:rsidR="00795C55" w:rsidRPr="007C3975" w:rsidRDefault="00795C55" w:rsidP="0079783B">
            <w:pPr>
              <w:pStyle w:val="a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703" w:type="dxa"/>
            <w:vAlign w:val="center"/>
          </w:tcPr>
          <w:p w:rsidR="00795C55" w:rsidRPr="000E3B84" w:rsidRDefault="00795C55" w:rsidP="00B3755F">
            <w:pPr>
              <w:pStyle w:val="a6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  <w:tr w:rsidR="00795C55" w:rsidTr="00795C55">
        <w:tc>
          <w:tcPr>
            <w:tcW w:w="8642" w:type="dxa"/>
          </w:tcPr>
          <w:p w:rsidR="00795C55" w:rsidRPr="00880521" w:rsidRDefault="00795C55" w:rsidP="0079783B">
            <w:pPr>
              <w:pStyle w:val="a3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703" w:type="dxa"/>
          </w:tcPr>
          <w:p w:rsidR="00795C55" w:rsidRPr="000E3B84" w:rsidRDefault="00795C55" w:rsidP="00B3755F">
            <w:pPr>
              <w:pStyle w:val="a6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  <w:tr w:rsidR="00795C55" w:rsidTr="00795C55">
        <w:tc>
          <w:tcPr>
            <w:tcW w:w="8642" w:type="dxa"/>
          </w:tcPr>
          <w:p w:rsidR="00795C55" w:rsidRPr="00880521" w:rsidRDefault="00795C55" w:rsidP="0079783B">
            <w:pPr>
              <w:pStyle w:val="a3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∙sin⁡(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3" w:type="dxa"/>
          </w:tcPr>
          <w:p w:rsidR="00795C55" w:rsidRPr="000E3B84" w:rsidRDefault="00795C55" w:rsidP="00B3755F">
            <w:pPr>
              <w:pStyle w:val="a6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  <w:tr w:rsidR="00795C55" w:rsidTr="00795C55">
        <w:tc>
          <w:tcPr>
            <w:tcW w:w="8642" w:type="dxa"/>
          </w:tcPr>
          <w:p w:rsidR="00795C55" w:rsidRPr="00880521" w:rsidRDefault="00795C55" w:rsidP="0079783B">
            <w:pPr>
              <w:pStyle w:val="a3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34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34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703" w:type="dxa"/>
          </w:tcPr>
          <w:p w:rsidR="00795C55" w:rsidRPr="000E3B84" w:rsidRDefault="00795C55" w:rsidP="00B3755F">
            <w:pPr>
              <w:pStyle w:val="a6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  <w:tr w:rsidR="00795C55" w:rsidTr="00795C55">
        <w:tc>
          <w:tcPr>
            <w:tcW w:w="8642" w:type="dxa"/>
          </w:tcPr>
          <w:p w:rsidR="00795C55" w:rsidRPr="00880521" w:rsidRDefault="00795C55" w:rsidP="0079783B">
            <w:pPr>
              <w:pStyle w:val="a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34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</w:tcPr>
          <w:p w:rsidR="00795C55" w:rsidRPr="000E3B84" w:rsidRDefault="00795C55" w:rsidP="00B3755F">
            <w:pPr>
              <w:pStyle w:val="a6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  <w:tr w:rsidR="00795C55" w:rsidTr="00795C55">
        <w:tc>
          <w:tcPr>
            <w:tcW w:w="8642" w:type="dxa"/>
          </w:tcPr>
          <w:p w:rsidR="00795C55" w:rsidRPr="00880521" w:rsidRDefault="00795C55" w:rsidP="0079783B">
            <w:pPr>
              <w:pStyle w:val="a3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703" w:type="dxa"/>
          </w:tcPr>
          <w:p w:rsidR="00795C55" w:rsidRPr="000E3B84" w:rsidRDefault="00795C55" w:rsidP="00B3755F">
            <w:pPr>
              <w:pStyle w:val="a6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795C55" w:rsidRPr="00646ED0" w:rsidRDefault="00795C55" w:rsidP="00020086">
      <w:pPr>
        <w:pStyle w:val="a3"/>
      </w:pPr>
      <w:r>
        <w:t xml:space="preserve">Высечение тригонометрических функций и операции с числами с плавающей точкой требуют затрат большого количества вычислительных ресурсов, так как микроконтроллеры </w:t>
      </w:r>
      <w:r>
        <w:rPr>
          <w:lang w:val="en-US"/>
        </w:rPr>
        <w:t>STM</w:t>
      </w:r>
      <w:r w:rsidRPr="00795C55">
        <w:t>32</w:t>
      </w:r>
      <w:r>
        <w:rPr>
          <w:lang w:val="en-US"/>
        </w:rPr>
        <w:t>F</w:t>
      </w:r>
      <w:r w:rsidRPr="00795C55">
        <w:t>1</w:t>
      </w:r>
      <w:r>
        <w:t xml:space="preserve"> не обладают </w:t>
      </w:r>
      <w:r w:rsidR="004419A4">
        <w:t xml:space="preserve">аппаратной поддержкой плавающей точки. Использование ряда Тейлора для оптимизации работы тригонометрических функций невозможно, так как для корректной работы алгоритма необходимо описать функции косинуса и синуса в диапазоне от 0 до </w:t>
      </w:r>
      <w:r w:rsidR="004419A4">
        <w:rPr>
          <w:lang w:val="en-US"/>
        </w:rPr>
        <w:t>pi</w:t>
      </w:r>
      <w:r w:rsidR="004419A4">
        <w:t xml:space="preserve"> с точностью не ниже чем 0,072 градуса. Данная точность продиктована дискретностью работы шаговых двигателей. Достижение заявленной точности в заданном диапазоне возможно только при использовании </w:t>
      </w:r>
      <w:r w:rsidR="00646ED0">
        <w:t>третьего члена в ряду Тейлора, что приводит к необходимости многократного умно</w:t>
      </w:r>
      <w:r w:rsidR="00FE35D9">
        <w:t xml:space="preserve">жения чисел с плавающей точкой и никак не ускоряет работу алгоритма. </w:t>
      </w:r>
    </w:p>
    <w:p w:rsidR="00FE35D9" w:rsidRDefault="00845FD7" w:rsidP="00020086">
      <w:pPr>
        <w:pStyle w:val="a3"/>
      </w:pPr>
      <w:r w:rsidRPr="00845FD7">
        <w:rPr>
          <w:i/>
        </w:rPr>
        <w:t>Применение функциональных массивов</w:t>
      </w:r>
      <w:r>
        <w:t xml:space="preserve">. </w:t>
      </w:r>
      <w:r w:rsidR="00FE35D9">
        <w:t xml:space="preserve">Следующий метод оптимизации решения алгоритма ОЗК призван избавиться от операций с числами с плавающей точкой и тригонометрический преобразований. Данный метод основан на использовании заранее подготовленного массива данных с тригонометрическими преобразованиями. Так же </w:t>
      </w:r>
      <w:r w:rsidR="00156149">
        <w:t>в данном методе применяются другие единицы измерения длин и градусов, чтобы избавиться от операци</w:t>
      </w:r>
      <w:r w:rsidR="00E50484">
        <w:t xml:space="preserve">й с числами с плавающей точкой. Применимы размерности угловых </w:t>
      </w:r>
      <w:r w:rsidR="00E50484">
        <w:lastRenderedPageBreak/>
        <w:t xml:space="preserve">координат с дискретностью сопоставимой с заданной точностью изменения угловых координат. В примере для удобства расчетов дискретность угловых координат выше и составляет 0,01 градуса. Для более оптимального использования памяти микроконтроллера допускается снижение дискретности измерений до 0,072 градусов. </w:t>
      </w:r>
      <w:r w:rsidR="00BC7F35">
        <w:t xml:space="preserve">Для баланса между точностью вычисления тригонометрических функций и занимаемой памятью максимальное значение синуса равно </w:t>
      </w:r>
      <w:r w:rsidR="00BC7F35">
        <w:rPr>
          <w:lang w:val="en-US"/>
        </w:rPr>
        <w:t>UINT</w:t>
      </w:r>
      <w:r w:rsidR="00BC7F35">
        <w:t xml:space="preserve">16_MAX (65535). Применяются только </w:t>
      </w:r>
      <w:proofErr w:type="spellStart"/>
      <w:r w:rsidR="00B001D8">
        <w:t>беззнаковые</w:t>
      </w:r>
      <w:proofErr w:type="spellEnd"/>
      <w:r w:rsidR="00B001D8">
        <w:t xml:space="preserve"> значения</w:t>
      </w:r>
      <w:r w:rsidR="00BC7F35">
        <w:t xml:space="preserve"> для хранения тригонометрических функций, так как знак синуса и косинуса определяется непосредственно в </w:t>
      </w:r>
      <w:r w:rsidR="00B001D8">
        <w:t xml:space="preserve">теле алгоритма ОЗК, что позволяет значительно сократить количество хранимых данных и увеличить точность определения тригонометрических функций. В памяти микроконтроллера храниться два функциональных массива – массив косинуса со значениями </w:t>
      </w:r>
      <w:r w:rsidR="00F658E9">
        <w:t xml:space="preserve">от 0 до 65535, соответствующими углам от 0 до 90 градусов состоящий из 9000 значений; массив арккосинусов со значениями от 0 до 9000 состоящий из 6553 значений. В ходе экспериментов выяснилось, что хранить весть спектр значений арккосинуса в 65535 значений излишне и достаточно выбрать только каждое десятое значение, что значительно сокращает потребляемую память микроконтроллера и не сказывается на заданной точности. </w:t>
      </w:r>
      <w:r w:rsidR="00952FD6">
        <w:t>Схема геометрического представления используемых преобразований представлена на рисунке 3. Заштрихованной частью показана та часть, значения которой храниться в памяти микроконтроллера, все остальные значения находятся благодаря четности и симметричности тригонометрических функций</w:t>
      </w:r>
      <w:r>
        <w:t>.</w:t>
      </w:r>
    </w:p>
    <w:p w:rsidR="00CC72A7" w:rsidRDefault="00952FD6" w:rsidP="00CC72A7">
      <w:pPr>
        <w:pStyle w:val="a6"/>
        <w:keepNext/>
      </w:pPr>
      <w:r>
        <w:rPr>
          <w:noProof/>
          <w:lang w:eastAsia="ru-RU"/>
        </w:rPr>
        <w:lastRenderedPageBreak/>
        <w:drawing>
          <wp:inline distT="0" distB="0" distL="0" distR="0" wp14:anchorId="7CA47470" wp14:editId="4DF16F9A">
            <wp:extent cx="3429000" cy="273440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2679" cy="273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D6" w:rsidRPr="00CC72A7" w:rsidRDefault="00CC72A7" w:rsidP="00CC72A7">
      <w:pPr>
        <w:pStyle w:val="a6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Схема тригонометрических преобразований</w:t>
      </w:r>
    </w:p>
    <w:p w:rsidR="00952FD6" w:rsidRDefault="00952FD6" w:rsidP="00020086">
      <w:pPr>
        <w:pStyle w:val="a3"/>
      </w:pPr>
      <w:r>
        <w:t xml:space="preserve">При использовании данного метода исчезает необходимость вычисления тригонометрических функций, так как их значения берутся напрямую из массива. Так же благодаря использованию только целочисленных преобразований операции умножения и деления стали занимать меньше времени. Минусом данного метода является большой объем занимаемой памяти. При данных размерностях функциональных массивов они суммарно занимают 31106 байт, что составляет </w:t>
      </w:r>
      <w:r w:rsidR="005E1A58">
        <w:t xml:space="preserve">96% </w:t>
      </w:r>
      <w:r w:rsidR="00521050">
        <w:rPr>
          <w:lang w:val="en-US"/>
        </w:rPr>
        <w:t>Flash</w:t>
      </w:r>
      <w:r w:rsidR="00521050" w:rsidRPr="005E1A58">
        <w:t xml:space="preserve"> </w:t>
      </w:r>
      <w:r w:rsidR="005E1A58">
        <w:t xml:space="preserve">памяти на 32Кб микроконтроллерах. Использование дискретности в 0,072 градуса приведет к снижению затрат памяти в 2 раза, что позволит использовать микроконтроллеры с объемом памяти в 32Кб. </w:t>
      </w:r>
    </w:p>
    <w:p w:rsidR="005E1A58" w:rsidRPr="008F2B5D" w:rsidRDefault="005E1A58" w:rsidP="00020086">
      <w:pPr>
        <w:pStyle w:val="a3"/>
      </w:pPr>
      <w:r>
        <w:t>Использование данного метода приводит к необходимости дополнительной обработки знаков и четности тригонометрических функций</w:t>
      </w:r>
      <w:r w:rsidR="00855391">
        <w:t xml:space="preserve">. В качестве примера обработки значений ниже приведен фрагмент вычисления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55391">
        <w:t xml:space="preserve"> с рисунка 3</w:t>
      </w:r>
      <w:r w:rsidR="008F2B5D">
        <w:t xml:space="preserve">, где значение элемента массива </w:t>
      </w:r>
      <w:r w:rsidR="008F2B5D" w:rsidRPr="008F2B5D">
        <w:rPr>
          <w:i/>
          <w:lang w:val="en-US"/>
        </w:rPr>
        <w:t>s</w:t>
      </w:r>
      <w:r w:rsidR="008F2B5D">
        <w:t xml:space="preserve"> с индексом 0 соответствует углу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F2B5D">
        <w:rPr>
          <w:rFonts w:eastAsiaTheme="minorEastAsia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557"/>
      </w:tblGrid>
      <w:tr w:rsidR="00855391" w:rsidRPr="00855391" w:rsidTr="00855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391" w:rsidRPr="00855391" w:rsidRDefault="00855391" w:rsidP="00855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855391" w:rsidRPr="00855391" w:rsidRDefault="00855391" w:rsidP="00855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855391" w:rsidRPr="00855391" w:rsidRDefault="00855391" w:rsidP="00855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:rsidR="00855391" w:rsidRPr="00855391" w:rsidRDefault="00855391" w:rsidP="00855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55391" w:rsidRPr="00855391" w:rsidRDefault="00855391" w:rsidP="00855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5539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(x &gt; </w:t>
            </w:r>
            <w:r w:rsidRPr="0085539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855391" w:rsidRPr="00855391" w:rsidRDefault="00855391" w:rsidP="00855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s[</w:t>
            </w:r>
            <w:proofErr w:type="gramEnd"/>
            <w:r w:rsidRPr="0085539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-</w:t>
            </w:r>
            <w:proofErr w:type="spellStart"/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Acos</w:t>
            </w:r>
            <w:proofErr w:type="spellEnd"/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((y * y + L * L - x * x)/(</w:t>
            </w:r>
            <w:r w:rsidRPr="0085539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y * L));</w:t>
            </w:r>
          </w:p>
          <w:p w:rsidR="00855391" w:rsidRPr="00855391" w:rsidRDefault="00855391" w:rsidP="00855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5539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</w:p>
          <w:p w:rsidR="00855391" w:rsidRPr="00855391" w:rsidRDefault="00855391" w:rsidP="00855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s[</w:t>
            </w:r>
            <w:proofErr w:type="gramEnd"/>
            <w:r w:rsidRPr="0085539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Acos</w:t>
            </w:r>
            <w:proofErr w:type="spellEnd"/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((y * y + L * L - x * x)/(</w:t>
            </w:r>
            <w:r w:rsidRPr="0085539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y * L));</w:t>
            </w:r>
          </w:p>
          <w:p w:rsidR="00855391" w:rsidRPr="00855391" w:rsidRDefault="00855391" w:rsidP="00855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</w:p>
        </w:tc>
      </w:tr>
    </w:tbl>
    <w:p w:rsidR="00855391" w:rsidRPr="008E68B8" w:rsidRDefault="00845FD7" w:rsidP="00020086">
      <w:pPr>
        <w:pStyle w:val="a3"/>
      </w:pPr>
      <w:r w:rsidRPr="00845FD7">
        <w:rPr>
          <w:i/>
        </w:rPr>
        <w:lastRenderedPageBreak/>
        <w:t>Сравнение методов решения.</w:t>
      </w:r>
      <w:r>
        <w:t xml:space="preserve"> </w:t>
      </w:r>
      <w:r w:rsidR="008F2B5D">
        <w:t xml:space="preserve">Тестирование скорости работы вышеописанных алгоритмов производилось на микроконтроллере </w:t>
      </w:r>
      <w:r w:rsidR="008F2B5D">
        <w:rPr>
          <w:lang w:val="en-US"/>
        </w:rPr>
        <w:t>STM</w:t>
      </w:r>
      <w:r w:rsidR="008F2B5D" w:rsidRPr="008F2B5D">
        <w:t>32</w:t>
      </w:r>
      <w:r w:rsidR="008F2B5D">
        <w:rPr>
          <w:lang w:val="en-US"/>
        </w:rPr>
        <w:t>F</w:t>
      </w:r>
      <w:r w:rsidR="008F2B5D" w:rsidRPr="008F2B5D">
        <w:t>103</w:t>
      </w:r>
      <w:r w:rsidR="008F2B5D">
        <w:rPr>
          <w:lang w:val="en-US"/>
        </w:rPr>
        <w:t>T</w:t>
      </w:r>
      <w:r w:rsidR="008F2B5D" w:rsidRPr="008F2B5D">
        <w:t xml:space="preserve">6 </w:t>
      </w:r>
      <w:r w:rsidR="008F2B5D">
        <w:t xml:space="preserve">с тактовой частотой 8,0 МГц и нулевым уровнем оптимизации. В качестве тестового задания использовалось последовательное </w:t>
      </w:r>
      <w:r w:rsidR="008E68B8">
        <w:t xml:space="preserve">решение ОЗК для </w:t>
      </w:r>
      <w:r w:rsidR="008F2B5D">
        <w:t>окружности</w:t>
      </w:r>
      <w:r w:rsidR="008E68B8">
        <w:t xml:space="preserve"> в пространстве</w:t>
      </w:r>
      <w:r w:rsidR="008F2B5D">
        <w:t xml:space="preserve"> по </w:t>
      </w:r>
      <w:r w:rsidR="008E68B8">
        <w:t xml:space="preserve">360 точкам. </w:t>
      </w:r>
      <w:proofErr w:type="spellStart"/>
      <w:r w:rsidR="008E68B8">
        <w:t>Диограмма</w:t>
      </w:r>
      <w:proofErr w:type="spellEnd"/>
      <w:r w:rsidR="008E68B8">
        <w:t xml:space="preserve"> времени работы описанных алгоритмов </w:t>
      </w:r>
      <w:proofErr w:type="spellStart"/>
      <w:r w:rsidR="008E68B8">
        <w:t>представленна</w:t>
      </w:r>
      <w:proofErr w:type="spellEnd"/>
      <w:r w:rsidR="008E68B8">
        <w:t xml:space="preserve"> на рисунке 4, где </w:t>
      </w:r>
      <w:r w:rsidR="008E68B8">
        <w:rPr>
          <w:lang w:val="en-US"/>
        </w:rPr>
        <w:t>MYIK</w:t>
      </w:r>
      <w:r w:rsidR="008E68B8">
        <w:t xml:space="preserve"> – алгоритм, использующий функциональные массивы; </w:t>
      </w:r>
      <w:r w:rsidR="008E68B8">
        <w:rPr>
          <w:lang w:val="en-US"/>
        </w:rPr>
        <w:t>IK</w:t>
      </w:r>
      <w:r w:rsidR="008E68B8">
        <w:t xml:space="preserve"> – алгоритм, использующий геометрическое представление кинематических связей; </w:t>
      </w:r>
      <w:r w:rsidR="008E68B8">
        <w:rPr>
          <w:lang w:val="en-US"/>
        </w:rPr>
        <w:t>IKDH</w:t>
      </w:r>
      <w:r w:rsidR="008E68B8" w:rsidRPr="008E68B8">
        <w:t xml:space="preserve"> </w:t>
      </w:r>
      <w:r w:rsidR="008E68B8">
        <w:t xml:space="preserve">– алгоритм, использующий формализм </w:t>
      </w:r>
      <w:proofErr w:type="spellStart"/>
      <w:r w:rsidR="008E68B8">
        <w:t>Денавита-Хартенберга</w:t>
      </w:r>
      <w:proofErr w:type="spellEnd"/>
      <w:r w:rsidR="008E68B8">
        <w:t>.</w:t>
      </w:r>
    </w:p>
    <w:p w:rsidR="00CC72A7" w:rsidRDefault="008E68B8" w:rsidP="00CC72A7">
      <w:pPr>
        <w:pStyle w:val="a6"/>
      </w:pPr>
      <w:r>
        <w:rPr>
          <w:noProof/>
          <w:lang w:eastAsia="ru-RU"/>
        </w:rPr>
        <w:drawing>
          <wp:inline distT="0" distB="0" distL="0" distR="0" wp14:anchorId="6A362332" wp14:editId="6085FDC1">
            <wp:extent cx="2673928" cy="285724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046" cy="286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B8" w:rsidRDefault="00CC72A7" w:rsidP="00CC72A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Диаграмма сравнения решений</w:t>
      </w:r>
    </w:p>
    <w:p w:rsidR="00652FAC" w:rsidRDefault="0064278F" w:rsidP="00020086">
      <w:pPr>
        <w:pStyle w:val="a3"/>
      </w:pPr>
      <w:r>
        <w:t>Как видно из рисунка 4 использование геометрического подх</w:t>
      </w:r>
      <w:r w:rsidR="00652FAC">
        <w:t>ода дает выигрыш почти в 4 раза, а использование функциональных массивов дает преимущество еще в 2 раза.</w:t>
      </w:r>
    </w:p>
    <w:p w:rsidR="0064278F" w:rsidRPr="00B455A1" w:rsidRDefault="00652FAC" w:rsidP="00020086">
      <w:pPr>
        <w:pStyle w:val="a3"/>
      </w:pPr>
      <w:r w:rsidRPr="00652FAC">
        <w:rPr>
          <w:i/>
        </w:rPr>
        <w:t>Выводы</w:t>
      </w:r>
      <w:r>
        <w:t xml:space="preserve">. </w:t>
      </w:r>
      <w:r w:rsidR="0064278F">
        <w:t xml:space="preserve">Использование функциональных массивов приводит к уменьшению времени работы ОЗК еще в 2 раза по сравнению с геометрическим подходом. Но в то же время использование функциональных массивов приводит к необходимости хранения большого количества данных, что исключает возможность использования одного микроконтроллера для осуществления всего необходимого для манипулятора функционала. </w:t>
      </w:r>
      <w:r w:rsidR="00B455A1">
        <w:t xml:space="preserve">Использование готовых библиотек протоколов связи, таких как </w:t>
      </w:r>
      <w:r w:rsidR="00B455A1">
        <w:rPr>
          <w:lang w:val="en-US"/>
        </w:rPr>
        <w:t>CAN</w:t>
      </w:r>
      <w:r w:rsidR="00B455A1">
        <w:t xml:space="preserve"> и </w:t>
      </w:r>
      <w:r w:rsidR="00B455A1">
        <w:rPr>
          <w:lang w:val="en-US"/>
        </w:rPr>
        <w:t>UART</w:t>
      </w:r>
      <w:r w:rsidR="00B455A1">
        <w:t xml:space="preserve"> </w:t>
      </w:r>
      <w:r w:rsidR="00B455A1">
        <w:lastRenderedPageBreak/>
        <w:t>накладывает ограничение на объем памяти доступный для хранения функциональных массивов. В некоторых случаях гораздо важнее объем памяти, занимаемый программой, чем уменьшение времени работы в 2 раза, и в таких случаях целесообразнее использовать геометрический метод.</w:t>
      </w:r>
    </w:p>
    <w:p w:rsidR="00BC14FC" w:rsidRDefault="00B455A1" w:rsidP="00845FD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:rsidR="00B455A1" w:rsidRPr="00E03F15" w:rsidRDefault="00B455A1" w:rsidP="0079783B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E03F15">
        <w:rPr>
          <w:lang w:val="en-US"/>
        </w:rPr>
        <w:t>Guo</w:t>
      </w:r>
      <w:proofErr w:type="spellEnd"/>
      <w:r w:rsidRPr="00E03F15">
        <w:rPr>
          <w:lang w:val="en-US"/>
        </w:rPr>
        <w:t xml:space="preserve">, D., </w:t>
      </w:r>
      <w:proofErr w:type="spellStart"/>
      <w:r w:rsidRPr="00E03F15">
        <w:rPr>
          <w:lang w:val="en-US"/>
        </w:rPr>
        <w:t>Ju</w:t>
      </w:r>
      <w:proofErr w:type="spellEnd"/>
      <w:r w:rsidRPr="00E03F15">
        <w:rPr>
          <w:lang w:val="en-US"/>
        </w:rPr>
        <w:t>, H., Yao, Y., Ling, F., &amp; Li, T. (2009). Efficient Algorithms for the Kinematics and Path Planning of Manipulator. 2009 International Conference on Artificial Intelligence and Computational Intelligence.</w:t>
      </w:r>
    </w:p>
    <w:p w:rsidR="00B455A1" w:rsidRPr="00E03F15" w:rsidRDefault="00B455A1" w:rsidP="0079783B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E03F15">
        <w:rPr>
          <w:lang w:val="en-US"/>
        </w:rPr>
        <w:t>Kondak</w:t>
      </w:r>
      <w:proofErr w:type="spellEnd"/>
      <w:r w:rsidRPr="00E03F15">
        <w:rPr>
          <w:lang w:val="en-US"/>
        </w:rPr>
        <w:t xml:space="preserve">, K., Huber, F., </w:t>
      </w:r>
      <w:proofErr w:type="spellStart"/>
      <w:r w:rsidRPr="00E03F15">
        <w:rPr>
          <w:lang w:val="en-US"/>
        </w:rPr>
        <w:t>Schwarzbach</w:t>
      </w:r>
      <w:proofErr w:type="spellEnd"/>
      <w:r w:rsidRPr="00E03F15">
        <w:rPr>
          <w:lang w:val="en-US"/>
        </w:rPr>
        <w:t xml:space="preserve">, M., </w:t>
      </w:r>
      <w:proofErr w:type="spellStart"/>
      <w:r w:rsidRPr="00E03F15">
        <w:rPr>
          <w:lang w:val="en-US"/>
        </w:rPr>
        <w:t>Laiacker</w:t>
      </w:r>
      <w:proofErr w:type="spellEnd"/>
      <w:r w:rsidRPr="00E03F15">
        <w:rPr>
          <w:lang w:val="en-US"/>
        </w:rPr>
        <w:t xml:space="preserve">, M., </w:t>
      </w:r>
      <w:proofErr w:type="spellStart"/>
      <w:r w:rsidRPr="00E03F15">
        <w:rPr>
          <w:lang w:val="en-US"/>
        </w:rPr>
        <w:t>Sommer</w:t>
      </w:r>
      <w:proofErr w:type="spellEnd"/>
      <w:r w:rsidRPr="00E03F15">
        <w:rPr>
          <w:lang w:val="en-US"/>
        </w:rPr>
        <w:t xml:space="preserve">, D., </w:t>
      </w:r>
      <w:proofErr w:type="spellStart"/>
      <w:r w:rsidRPr="00E03F15">
        <w:rPr>
          <w:lang w:val="en-US"/>
        </w:rPr>
        <w:t>Bejar</w:t>
      </w:r>
      <w:proofErr w:type="spellEnd"/>
      <w:r w:rsidRPr="00E03F15">
        <w:rPr>
          <w:lang w:val="en-US"/>
        </w:rPr>
        <w:t xml:space="preserve">, M., &amp; </w:t>
      </w:r>
      <w:proofErr w:type="spellStart"/>
      <w:r w:rsidRPr="00E03F15">
        <w:rPr>
          <w:lang w:val="en-US"/>
        </w:rPr>
        <w:t>Ollero</w:t>
      </w:r>
      <w:proofErr w:type="spellEnd"/>
      <w:r w:rsidRPr="00E03F15">
        <w:rPr>
          <w:lang w:val="en-US"/>
        </w:rPr>
        <w:t>, A. (2014). Aerial manipulation robot composed of an autonomous helicopter and a 7 degrees of freedom industrial manipulator. 2014 IEEE International Conference on Robotics and Automation (ICRA).</w:t>
      </w:r>
    </w:p>
    <w:p w:rsidR="00B455A1" w:rsidRPr="00E03F15" w:rsidRDefault="00B455A1" w:rsidP="0079783B">
      <w:pPr>
        <w:pStyle w:val="a3"/>
        <w:numPr>
          <w:ilvl w:val="0"/>
          <w:numId w:val="1"/>
        </w:numPr>
        <w:rPr>
          <w:lang w:val="en-US"/>
        </w:rPr>
      </w:pPr>
      <w:r w:rsidRPr="00E03F15">
        <w:rPr>
          <w:lang w:val="en-US"/>
        </w:rPr>
        <w:t xml:space="preserve">From, P. J., </w:t>
      </w:r>
      <w:proofErr w:type="spellStart"/>
      <w:r w:rsidRPr="00E03F15">
        <w:rPr>
          <w:lang w:val="en-US"/>
        </w:rPr>
        <w:t>Duindam</w:t>
      </w:r>
      <w:proofErr w:type="spellEnd"/>
      <w:r w:rsidRPr="00E03F15">
        <w:rPr>
          <w:lang w:val="en-US"/>
        </w:rPr>
        <w:t xml:space="preserve">, V., </w:t>
      </w:r>
      <w:proofErr w:type="spellStart"/>
      <w:r w:rsidRPr="00E03F15">
        <w:rPr>
          <w:lang w:val="en-US"/>
        </w:rPr>
        <w:t>Pettersen</w:t>
      </w:r>
      <w:proofErr w:type="spellEnd"/>
      <w:r w:rsidRPr="00E03F15">
        <w:rPr>
          <w:lang w:val="en-US"/>
        </w:rPr>
        <w:t xml:space="preserve">, K. Y., </w:t>
      </w:r>
      <w:proofErr w:type="spellStart"/>
      <w:r w:rsidRPr="00E03F15">
        <w:rPr>
          <w:lang w:val="en-US"/>
        </w:rPr>
        <w:t>Gravdahl</w:t>
      </w:r>
      <w:proofErr w:type="spellEnd"/>
      <w:r w:rsidRPr="00E03F15">
        <w:rPr>
          <w:lang w:val="en-US"/>
        </w:rPr>
        <w:t xml:space="preserve">, J. T., &amp; </w:t>
      </w:r>
      <w:proofErr w:type="spellStart"/>
      <w:r w:rsidRPr="00E03F15">
        <w:rPr>
          <w:lang w:val="en-US"/>
        </w:rPr>
        <w:t>Sastry</w:t>
      </w:r>
      <w:proofErr w:type="spellEnd"/>
      <w:r w:rsidRPr="00E03F15">
        <w:rPr>
          <w:lang w:val="en-US"/>
        </w:rPr>
        <w:t>, S. (2010). Singularity-free dynamic equations of vehicle–manipulator systems. Simulation Modelling Practice and Theory, 18(6), 712–731.</w:t>
      </w:r>
    </w:p>
    <w:p w:rsidR="00B455A1" w:rsidRPr="00E03F15" w:rsidRDefault="00B455A1" w:rsidP="0079783B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E03F15">
        <w:rPr>
          <w:lang w:val="en-US"/>
        </w:rPr>
        <w:t>Wuthier</w:t>
      </w:r>
      <w:proofErr w:type="spellEnd"/>
      <w:r w:rsidRPr="00E03F15">
        <w:rPr>
          <w:lang w:val="en-US"/>
        </w:rPr>
        <w:t xml:space="preserve">, D., </w:t>
      </w:r>
      <w:proofErr w:type="spellStart"/>
      <w:r w:rsidRPr="00E03F15">
        <w:rPr>
          <w:lang w:val="en-US"/>
        </w:rPr>
        <w:t>Kominiak</w:t>
      </w:r>
      <w:proofErr w:type="spellEnd"/>
      <w:r w:rsidRPr="00E03F15">
        <w:rPr>
          <w:lang w:val="en-US"/>
        </w:rPr>
        <w:t xml:space="preserve">, D., </w:t>
      </w:r>
      <w:proofErr w:type="spellStart"/>
      <w:r w:rsidRPr="00E03F15">
        <w:rPr>
          <w:lang w:val="en-US"/>
        </w:rPr>
        <w:t>Kanellakis</w:t>
      </w:r>
      <w:proofErr w:type="spellEnd"/>
      <w:r w:rsidRPr="00E03F15">
        <w:rPr>
          <w:lang w:val="en-US"/>
        </w:rPr>
        <w:t xml:space="preserve">, C., </w:t>
      </w:r>
      <w:proofErr w:type="spellStart"/>
      <w:r w:rsidRPr="00E03F15">
        <w:rPr>
          <w:lang w:val="en-US"/>
        </w:rPr>
        <w:t>Andrikopoulos</w:t>
      </w:r>
      <w:proofErr w:type="spellEnd"/>
      <w:r w:rsidRPr="00E03F15">
        <w:rPr>
          <w:lang w:val="en-US"/>
        </w:rPr>
        <w:t xml:space="preserve">, G., </w:t>
      </w:r>
      <w:proofErr w:type="spellStart"/>
      <w:r w:rsidRPr="00E03F15">
        <w:rPr>
          <w:lang w:val="en-US"/>
        </w:rPr>
        <w:t>Fumagalli</w:t>
      </w:r>
      <w:proofErr w:type="spellEnd"/>
      <w:r w:rsidRPr="00E03F15">
        <w:rPr>
          <w:lang w:val="en-US"/>
        </w:rPr>
        <w:t xml:space="preserve">, M., </w:t>
      </w:r>
      <w:proofErr w:type="spellStart"/>
      <w:r w:rsidRPr="00E03F15">
        <w:rPr>
          <w:lang w:val="en-US"/>
        </w:rPr>
        <w:t>Schipper</w:t>
      </w:r>
      <w:proofErr w:type="spellEnd"/>
      <w:r w:rsidRPr="00E03F15">
        <w:rPr>
          <w:lang w:val="en-US"/>
        </w:rPr>
        <w:t>, G., &amp; Nikolakopoulos, G. (2016). On the design, modeling and control of a novel compact aerial manipulator. 2016 24th Mediterranean Conference on Control and Automation (MED).</w:t>
      </w:r>
    </w:p>
    <w:p w:rsidR="00B455A1" w:rsidRPr="00E03F15" w:rsidRDefault="00B455A1" w:rsidP="0079783B">
      <w:pPr>
        <w:pStyle w:val="a3"/>
        <w:numPr>
          <w:ilvl w:val="0"/>
          <w:numId w:val="1"/>
        </w:numPr>
        <w:rPr>
          <w:rStyle w:val="a9"/>
          <w:color w:val="000000" w:themeColor="text1"/>
          <w:u w:val="none"/>
          <w:lang w:val="en-US"/>
        </w:rPr>
      </w:pPr>
      <w:r w:rsidRPr="00E03F15">
        <w:rPr>
          <w:lang w:val="en-US"/>
        </w:rPr>
        <w:t>Love, L. J., Jansen, J. F., &amp; Pin, F. G. (2004). On the modeling of robots operating on ships. IEEE International Conference on Robotics and Automation, 2004. Proceedings. ICRA ’04. 2004.</w:t>
      </w:r>
    </w:p>
    <w:p w:rsidR="00B455A1" w:rsidRDefault="00B455A1" w:rsidP="0079783B">
      <w:pPr>
        <w:pStyle w:val="a3"/>
        <w:numPr>
          <w:ilvl w:val="0"/>
          <w:numId w:val="1"/>
        </w:numPr>
      </w:pPr>
      <w:proofErr w:type="spellStart"/>
      <w:r>
        <w:t>Шахинпур</w:t>
      </w:r>
      <w:proofErr w:type="spellEnd"/>
      <w:r>
        <w:t xml:space="preserve"> М. Курс робототехники / </w:t>
      </w:r>
      <w:proofErr w:type="spellStart"/>
      <w:r>
        <w:t>Шахинпур</w:t>
      </w:r>
      <w:proofErr w:type="spellEnd"/>
      <w:r>
        <w:t xml:space="preserve"> М. Пер с </w:t>
      </w:r>
      <w:proofErr w:type="spellStart"/>
      <w:r>
        <w:t>англ</w:t>
      </w:r>
      <w:proofErr w:type="spellEnd"/>
      <w:r>
        <w:t xml:space="preserve"> – М. Мир, 1990 – 572 с, ил.</w:t>
      </w:r>
    </w:p>
    <w:p w:rsidR="00B455A1" w:rsidRPr="003F0577" w:rsidRDefault="00B455A1" w:rsidP="0079783B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proofErr w:type="spellStart"/>
      <w:r>
        <w:rPr>
          <w:lang w:val="en-US"/>
        </w:rPr>
        <w:t>Matlab</w:t>
      </w:r>
      <w:proofErr w:type="spellEnd"/>
      <w:r w:rsidRPr="00193A33">
        <w:rPr>
          <w:lang w:val="en-US"/>
        </w:rPr>
        <w:t xml:space="preserve"> </w:t>
      </w:r>
      <w:r>
        <w:rPr>
          <w:lang w:val="en-US"/>
        </w:rPr>
        <w:t>Robotic</w:t>
      </w:r>
      <w:r w:rsidRPr="00193A33">
        <w:rPr>
          <w:lang w:val="en-US"/>
        </w:rPr>
        <w:t xml:space="preserve"> </w:t>
      </w:r>
      <w:r>
        <w:rPr>
          <w:lang w:val="en-US"/>
        </w:rPr>
        <w:t>System</w:t>
      </w:r>
      <w:r w:rsidRPr="00193A33">
        <w:rPr>
          <w:lang w:val="en-US"/>
        </w:rPr>
        <w:t xml:space="preserve"> </w:t>
      </w:r>
      <w:r>
        <w:rPr>
          <w:lang w:val="en-US"/>
        </w:rPr>
        <w:t xml:space="preserve">Toolbox User`s Guide, 2019 – 294 </w:t>
      </w:r>
      <w:r>
        <w:t>с</w:t>
      </w:r>
      <w:r w:rsidRPr="00193A33">
        <w:rPr>
          <w:lang w:val="en-US"/>
        </w:rPr>
        <w:t>.</w:t>
      </w:r>
    </w:p>
    <w:sectPr w:rsidR="00B455A1" w:rsidRPr="003F0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4112A"/>
    <w:multiLevelType w:val="hybridMultilevel"/>
    <w:tmpl w:val="57282CCC"/>
    <w:lvl w:ilvl="0" w:tplc="2CAAD1A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CBB"/>
    <w:rsid w:val="00002AD6"/>
    <w:rsid w:val="00020086"/>
    <w:rsid w:val="000D3E9A"/>
    <w:rsid w:val="00156149"/>
    <w:rsid w:val="001777EA"/>
    <w:rsid w:val="002600C8"/>
    <w:rsid w:val="00293518"/>
    <w:rsid w:val="002A316B"/>
    <w:rsid w:val="003B2F75"/>
    <w:rsid w:val="003B4A48"/>
    <w:rsid w:val="004026FC"/>
    <w:rsid w:val="004419A4"/>
    <w:rsid w:val="004419C5"/>
    <w:rsid w:val="00521050"/>
    <w:rsid w:val="00586B34"/>
    <w:rsid w:val="005D70FE"/>
    <w:rsid w:val="005E1A58"/>
    <w:rsid w:val="00615650"/>
    <w:rsid w:val="0064278F"/>
    <w:rsid w:val="00646ED0"/>
    <w:rsid w:val="00652FAC"/>
    <w:rsid w:val="00681427"/>
    <w:rsid w:val="006F3852"/>
    <w:rsid w:val="006F662F"/>
    <w:rsid w:val="00795C55"/>
    <w:rsid w:val="0079783B"/>
    <w:rsid w:val="00845FD7"/>
    <w:rsid w:val="00855391"/>
    <w:rsid w:val="008E68B8"/>
    <w:rsid w:val="008E76BC"/>
    <w:rsid w:val="008F2B5D"/>
    <w:rsid w:val="008F52E1"/>
    <w:rsid w:val="008F7C97"/>
    <w:rsid w:val="00913731"/>
    <w:rsid w:val="00952FD6"/>
    <w:rsid w:val="0098528B"/>
    <w:rsid w:val="00994610"/>
    <w:rsid w:val="009C7090"/>
    <w:rsid w:val="009D53D9"/>
    <w:rsid w:val="00A96022"/>
    <w:rsid w:val="00AB5744"/>
    <w:rsid w:val="00AC036C"/>
    <w:rsid w:val="00B001D8"/>
    <w:rsid w:val="00B00E38"/>
    <w:rsid w:val="00B04DBC"/>
    <w:rsid w:val="00B22023"/>
    <w:rsid w:val="00B455A1"/>
    <w:rsid w:val="00B46631"/>
    <w:rsid w:val="00B4788B"/>
    <w:rsid w:val="00BC0016"/>
    <w:rsid w:val="00BC14FC"/>
    <w:rsid w:val="00BC7F35"/>
    <w:rsid w:val="00C97717"/>
    <w:rsid w:val="00CC72A7"/>
    <w:rsid w:val="00D35AC7"/>
    <w:rsid w:val="00D64F83"/>
    <w:rsid w:val="00DC0637"/>
    <w:rsid w:val="00DD2B73"/>
    <w:rsid w:val="00DE7C7F"/>
    <w:rsid w:val="00E50484"/>
    <w:rsid w:val="00EA4091"/>
    <w:rsid w:val="00ED1954"/>
    <w:rsid w:val="00EE1CBB"/>
    <w:rsid w:val="00F64819"/>
    <w:rsid w:val="00F658E9"/>
    <w:rsid w:val="00FE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A3148"/>
  <w15:chartTrackingRefBased/>
  <w15:docId w15:val="{7EDE63F8-0A13-4845-B65D-41B214C3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Текст"/>
    <w:basedOn w:val="a"/>
    <w:link w:val="a4"/>
    <w:qFormat/>
    <w:rsid w:val="00020086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МойТекст Знак"/>
    <w:basedOn w:val="a0"/>
    <w:link w:val="a3"/>
    <w:rsid w:val="0002008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DD2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CC72A7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 w:val="24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95C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95C55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55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53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B45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1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9</Pages>
  <Words>1596</Words>
  <Characters>10790</Characters>
  <Application>Microsoft Office Word</Application>
  <DocSecurity>0</DocSecurity>
  <Lines>226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12</cp:revision>
  <dcterms:created xsi:type="dcterms:W3CDTF">2020-01-10T18:18:00Z</dcterms:created>
  <dcterms:modified xsi:type="dcterms:W3CDTF">2020-01-19T15:19:00Z</dcterms:modified>
</cp:coreProperties>
</file>