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0BD34046" w:rsidR="00271E29" w:rsidRPr="005837EA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D25335" w:rsidRPr="005837EA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6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12665EE3" w14:textId="1285D26C" w:rsidR="00271E29" w:rsidRPr="00271E29" w:rsidRDefault="005837EA" w:rsidP="005837E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Адаптация системы нечёткого вывода </w:t>
      </w:r>
      <w:proofErr w:type="spellStart"/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Мамдани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использованием средств нелинейной оптимизации пакета </w:t>
      </w:r>
      <w:proofErr w:type="spellStart"/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Optimization</w:t>
      </w:r>
      <w:proofErr w:type="spellEnd"/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5837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Toolbox</w:t>
      </w:r>
      <w:proofErr w:type="spellEnd"/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0722F703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837E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5837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7DB95F2F" w14:textId="77777777" w:rsidR="005837EA" w:rsidRDefault="005837EA" w:rsidP="005837EA">
      <w:pPr>
        <w:pStyle w:val="a3"/>
      </w:pPr>
      <w:r>
        <w:t xml:space="preserve">Изучение особенностей построения адаптивных нечётких систем с использованием средств нелинейной оптимизации пакета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системы </w:t>
      </w:r>
      <w:proofErr w:type="spellStart"/>
      <w:r>
        <w:t>MatLab</w:t>
      </w:r>
      <w:proofErr w:type="spellEnd"/>
      <w:r>
        <w:t xml:space="preserve">. </w:t>
      </w:r>
    </w:p>
    <w:p w14:paraId="6E4BB005" w14:textId="77777777" w:rsidR="005837EA" w:rsidRDefault="005837EA" w:rsidP="005837EA">
      <w:pPr>
        <w:pStyle w:val="a5"/>
      </w:pPr>
      <w:bookmarkStart w:id="0" w:name="_Toc69127310"/>
      <w:r w:rsidRPr="0036766B">
        <w:t>Математическое выражение и область определения исходной</w:t>
      </w:r>
      <w:r>
        <w:t xml:space="preserve"> </w:t>
      </w:r>
      <w:r w:rsidRPr="0036766B">
        <w:t>зависимости</w:t>
      </w:r>
      <w:bookmarkEnd w:id="0"/>
      <w:r>
        <w:t xml:space="preserve"> представлено на рисунке 1.</w:t>
      </w:r>
    </w:p>
    <w:p w14:paraId="68ACA12E" w14:textId="77777777" w:rsidR="005837EA" w:rsidRDefault="005837EA" w:rsidP="005837EA">
      <w:pPr>
        <w:keepNext/>
        <w:widowControl w:val="0"/>
        <w:autoSpaceDE w:val="0"/>
        <w:autoSpaceDN w:val="0"/>
        <w:adjustRightInd w:val="0"/>
        <w:spacing w:line="360" w:lineRule="auto"/>
        <w:ind w:left="640" w:hanging="640"/>
      </w:pPr>
      <w:r>
        <w:rPr>
          <w:noProof/>
        </w:rPr>
        <w:drawing>
          <wp:inline distT="0" distB="0" distL="0" distR="0" wp14:anchorId="4B249B7D" wp14:editId="566DE333">
            <wp:extent cx="5940425" cy="1697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B2B" w14:textId="3AC02B91" w:rsidR="005837EA" w:rsidRDefault="005837EA" w:rsidP="005837EA">
      <w:pPr>
        <w:pStyle w:val="af0"/>
      </w:pPr>
      <w:r>
        <w:t xml:space="preserve">Рисунок </w:t>
      </w:r>
      <w:r>
        <w:fldChar w:fldCharType="begin"/>
      </w:r>
      <w:r w:rsidRPr="00760340">
        <w:instrText xml:space="preserve"> SEQ Рисунок \* ARABIC </w:instrText>
      </w:r>
      <w:r>
        <w:fldChar w:fldCharType="separate"/>
      </w:r>
      <w:r w:rsidR="008A3D96">
        <w:rPr>
          <w:noProof/>
        </w:rPr>
        <w:t>1</w:t>
      </w:r>
      <w:r>
        <w:fldChar w:fldCharType="end"/>
      </w:r>
      <w:r>
        <w:t xml:space="preserve"> - Математическая зависимость</w:t>
      </w:r>
    </w:p>
    <w:p w14:paraId="362FA012" w14:textId="77777777" w:rsidR="005837EA" w:rsidRDefault="005837EA">
      <w:pPr>
        <w:rPr>
          <w:rFonts w:ascii="Times New Roman" w:hAnsi="Times New Roman"/>
          <w:iCs/>
          <w:color w:val="000000" w:themeColor="text1"/>
          <w:sz w:val="24"/>
          <w:szCs w:val="16"/>
        </w:rPr>
      </w:pPr>
      <w:r>
        <w:br w:type="page"/>
      </w:r>
    </w:p>
    <w:p w14:paraId="74F14D0E" w14:textId="211483FB" w:rsidR="00CC1732" w:rsidRDefault="00CC1732" w:rsidP="00CC1732">
      <w:pPr>
        <w:pStyle w:val="a5"/>
      </w:pPr>
      <w:r>
        <w:lastRenderedPageBreak/>
        <w:t>m-программы функций обновления параметров системы нечёткого вывода и определения ошибки аппроксимации.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CC1732" w:rsidRPr="00CC1732" w14:paraId="3542A031" w14:textId="77777777" w:rsidTr="00CC1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D3E1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7575AAC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3D3E3C98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7A77155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DB382C1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AABD46B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D00F073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81554FA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569D58F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0832A785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A514141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A412D56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1732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function</w:t>
            </w:r>
            <w:r w:rsidRPr="00CC1732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errFISmg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</w:t>
            </w:r>
            <w:r w:rsidRPr="00CC1732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C173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F_</w:t>
            </w:r>
            <w:proofErr w:type="gramStart"/>
            <w:r w:rsidRPr="00CC1732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errFISmg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param,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FISiter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inputFIS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target,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Msht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71750419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Расчет ошибки при новых параметрах (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param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) нечеткой системы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FISiter</w:t>
            </w:r>
            <w:proofErr w:type="spellEnd"/>
          </w:p>
          <w:p w14:paraId="312B1457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CB81EC0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Установка новых параметров нечеткой системы</w:t>
            </w:r>
          </w:p>
          <w:p w14:paraId="1E80A117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FISiter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F_</w:t>
            </w:r>
            <w:proofErr w:type="gram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changeFISmg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FISiter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Msht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47B0B411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0F8B94E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% 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Нечеткий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вывод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:</w:t>
            </w:r>
          </w:p>
          <w:p w14:paraId="40E9C9F7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outFIS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evalfis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inputFIS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FISiter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3F5E065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6AAE7076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% 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Расчет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ошибки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:</w:t>
            </w:r>
          </w:p>
          <w:p w14:paraId="411D3CAD" w14:textId="77777777" w:rsidR="00CC1732" w:rsidRPr="00CC1732" w:rsidRDefault="00CC1732" w:rsidP="00CC17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errFISmg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CC17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sqrt</w:t>
            </w: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(sum((target-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outFIS</w:t>
            </w:r>
            <w:proofErr w:type="spellEnd"/>
            <w:proofErr w:type="gram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).^</w:t>
            </w:r>
            <w:proofErr w:type="gramEnd"/>
            <w:r w:rsidRPr="00CC1732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)/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numel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outFIS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  <w:r w:rsidRPr="00CC173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% 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среднекв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знач</w:t>
            </w:r>
            <w:proofErr w:type="spellEnd"/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.</w:t>
            </w:r>
            <w:r w:rsidRPr="00CC1732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ошибки</w:t>
            </w:r>
          </w:p>
          <w:p w14:paraId="19ADA293" w14:textId="77777777" w:rsidR="00CC1732" w:rsidRPr="00CC1732" w:rsidRDefault="00CC1732" w:rsidP="00CC17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14:paraId="2B1800E9" w14:textId="77777777" w:rsidR="00CC1732" w:rsidRPr="00CC1732" w:rsidRDefault="00CC1732" w:rsidP="00CC1732">
      <w:pPr>
        <w:pStyle w:val="a3"/>
        <w:rPr>
          <w:lang w:val="en-US"/>
        </w:rPr>
      </w:pPr>
    </w:p>
    <w:p w14:paraId="3057E52C" w14:textId="36FFA286" w:rsidR="00CC1732" w:rsidRPr="00CC1732" w:rsidRDefault="00CC17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CC1732">
        <w:rPr>
          <w:lang w:val="en-US"/>
        </w:rPr>
        <w:br w:type="page"/>
      </w:r>
    </w:p>
    <w:p w14:paraId="7918256C" w14:textId="295A09F5" w:rsidR="005837EA" w:rsidRDefault="005837EA" w:rsidP="005837EA">
      <w:pPr>
        <w:pStyle w:val="a5"/>
      </w:pPr>
      <w:r>
        <w:lastRenderedPageBreak/>
        <w:t xml:space="preserve">Предоставленная </w:t>
      </w:r>
      <w:r w:rsidR="00CC1732">
        <w:t>m-программы функций обновления параметров системы нечёткого вывода и определения ошибки аппроксимации.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277"/>
      </w:tblGrid>
      <w:tr w:rsidR="005837EA" w:rsidRPr="005837EA" w14:paraId="7684D321" w14:textId="77777777" w:rsidTr="005837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20E0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7B1841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05E3826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99CEF08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48AEEF5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0FDF9CF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2A6534A5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A16B7F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56A5A60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2BDFA6F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E15EF82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921F86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D03498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87E67B1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745C94D1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EC60A82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E8DD9D8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2EB0B4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E1CC4D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0B927D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A3AC0A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AFE3E3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6A63CA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627240C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42C691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6C94E4F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3CDFF32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00C3FA7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796D07F0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6D6786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CD6C4B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66466A0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365DEFC0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4CC3597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D4CE7D9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A676F10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D1C7CC6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5837E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function</w:t>
            </w:r>
            <w:r w:rsidRPr="005837EA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</w:t>
            </w:r>
            <w:r w:rsidRPr="005837EA">
              <w:rPr>
                <w:rFonts w:ascii="Courier New" w:eastAsia="Times New Roman" w:hAnsi="Courier New" w:cs="Courier New"/>
                <w:color w:val="BBBBBB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7E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F_</w:t>
            </w:r>
            <w:proofErr w:type="gramStart"/>
            <w:r w:rsidRPr="005837E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changeFISmg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param,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FISold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Msht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8EB881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Установка новых параметров (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) нечеткой системы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FISold</w:t>
            </w:r>
            <w:proofErr w:type="spellEnd"/>
          </w:p>
          <w:p w14:paraId="4ED134E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AE815A7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FISnew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FISold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493924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C600CE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%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Демасштабирование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настраиваемых параметров</w:t>
            </w:r>
          </w:p>
          <w:p w14:paraId="3BDCDD74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.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Msht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232880A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DBAA5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% Весовые коэффициенты правил</w:t>
            </w:r>
          </w:p>
          <w:p w14:paraId="7D234749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FISnew.rule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).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weight</w:t>
            </w:r>
            <w:proofErr w:type="spellEnd"/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4D72C0BE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FISnew.rule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).weight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659115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FISnew.rule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).weight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1FBFC8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B143F95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% Коэффициенты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конццентрации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термов входных переменных</w:t>
            </w:r>
          </w:p>
          <w:p w14:paraId="72D7FDD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).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mf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).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params</w:t>
            </w:r>
            <w:proofErr w:type="spellEnd"/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6332CCBE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2EE57D8D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ab/>
            </w:r>
          </w:p>
          <w:p w14:paraId="350E4C9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09DD3F8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1D975A9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E83A07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AAF28B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% Коэффициенты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конццентрации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термов выходных переменных</w:t>
            </w:r>
          </w:p>
          <w:p w14:paraId="1CBA5651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).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mf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).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params</w:t>
            </w:r>
            <w:proofErr w:type="spellEnd"/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) =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10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14:paraId="338E26BC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F70D4CF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6A0F339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779FAC71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3A769F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89990A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% </w:t>
            </w:r>
            <w:proofErr w:type="spellStart"/>
            <w:proofErr w:type="gram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коорд.максимумв</w:t>
            </w:r>
            <w:proofErr w:type="spellEnd"/>
            <w:proofErr w:type="gram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некотор.термов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входных переменных     </w:t>
            </w:r>
          </w:p>
          <w:p w14:paraId="064E778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15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B4B9C35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FISnew.input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EB458E5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7C33983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% </w:t>
            </w:r>
            <w:proofErr w:type="spellStart"/>
            <w:proofErr w:type="gram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коорд.максимумв</w:t>
            </w:r>
            <w:proofErr w:type="spellEnd"/>
            <w:proofErr w:type="gram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некотор.термов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 xml:space="preserve"> выходных переменных     </w:t>
            </w:r>
          </w:p>
          <w:p w14:paraId="378214DB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466ED3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18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4BA7917A" w14:textId="77777777" w:rsidR="005837EA" w:rsidRPr="005837EA" w:rsidRDefault="005837EA" w:rsidP="00583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FISnew.output</w:t>
            </w:r>
            <w:proofErr w:type="spell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).mf(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proofErr w:type="gramStart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).params</w:t>
            </w:r>
            <w:proofErr w:type="gramEnd"/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= param(</w:t>
            </w:r>
            <w:r w:rsidRPr="005837E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19</w:t>
            </w:r>
            <w:r w:rsidRPr="005837E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3C7622D5" w14:textId="77777777" w:rsidR="005837EA" w:rsidRDefault="005837EA">
      <w:r>
        <w:br w:type="page"/>
      </w:r>
    </w:p>
    <w:p w14:paraId="25A66B52" w14:textId="3523AB73" w:rsidR="005837EA" w:rsidRDefault="005837EA" w:rsidP="005837EA">
      <w:pPr>
        <w:pStyle w:val="a5"/>
      </w:pPr>
      <w:r w:rsidRPr="0036766B">
        <w:lastRenderedPageBreak/>
        <w:t>График</w:t>
      </w:r>
    </w:p>
    <w:p w14:paraId="34752735" w14:textId="14AB68C1" w:rsidR="00CC1732" w:rsidRDefault="00CC1732" w:rsidP="00CC1732">
      <w:pPr>
        <w:pStyle w:val="a3"/>
      </w:pPr>
      <w:r>
        <w:t>График</w:t>
      </w:r>
      <w:r>
        <w:t xml:space="preserve"> исходной зависимости согласно варианту задания</w:t>
      </w:r>
      <w:r>
        <w:t xml:space="preserve"> представлен на рисунке 2.</w:t>
      </w:r>
      <w:r>
        <w:t xml:space="preserve"> </w:t>
      </w:r>
      <w:r>
        <w:t>График</w:t>
      </w:r>
      <w:r>
        <w:t xml:space="preserve"> распределения точек обучающей и тестовой выборок данных в области определения аппроксимируемой зависимости</w:t>
      </w:r>
      <w:r>
        <w:t xml:space="preserve"> представлен на рисунке 3.</w:t>
      </w:r>
      <w:r>
        <w:t xml:space="preserve"> </w:t>
      </w:r>
      <w:r>
        <w:t>График</w:t>
      </w:r>
      <w:r>
        <w:t xml:space="preserve"> результат</w:t>
      </w:r>
      <w:r>
        <w:t>а</w:t>
      </w:r>
      <w:r>
        <w:t xml:space="preserve"> аппроксимации системой нечёткого вывода заданной зависимости до адаптации</w:t>
      </w:r>
      <w:r>
        <w:t xml:space="preserve"> представлен на рисунке 4. График</w:t>
      </w:r>
      <w:r>
        <w:t xml:space="preserve"> результат</w:t>
      </w:r>
      <w:r>
        <w:t>а</w:t>
      </w:r>
      <w:r>
        <w:t xml:space="preserve"> аппроксимации системой нечёткого вывода заданной зависимости после адаптации</w:t>
      </w:r>
      <w:r>
        <w:t xml:space="preserve"> представлен на рисунке 5</w:t>
      </w:r>
    </w:p>
    <w:p w14:paraId="7C6FF570" w14:textId="77777777" w:rsidR="005837EA" w:rsidRDefault="005837EA" w:rsidP="005837EA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0B1FEBB" wp14:editId="578638A7">
            <wp:extent cx="4392395" cy="33909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119" cy="34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2EB" w14:textId="0213338F" w:rsidR="005837EA" w:rsidRDefault="005837EA" w:rsidP="005837EA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3D96">
        <w:rPr>
          <w:noProof/>
        </w:rPr>
        <w:t>2</w:t>
      </w:r>
      <w:r>
        <w:rPr>
          <w:noProof/>
        </w:rPr>
        <w:fldChar w:fldCharType="end"/>
      </w:r>
      <w:r>
        <w:t xml:space="preserve"> - график исходной зависимости</w:t>
      </w:r>
    </w:p>
    <w:p w14:paraId="243558D5" w14:textId="77777777" w:rsidR="00CC1732" w:rsidRDefault="00CC1732" w:rsidP="00CC173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A2CAD1E" wp14:editId="08F9C439">
            <wp:extent cx="4640580" cy="37992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967" cy="38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8527" w14:textId="737F5507" w:rsidR="00283923" w:rsidRPr="00CC1732" w:rsidRDefault="00CC1732" w:rsidP="00CC1732">
      <w:pPr>
        <w:pStyle w:val="af0"/>
      </w:pPr>
      <w:r>
        <w:t xml:space="preserve">Рисунок </w:t>
      </w:r>
      <w:fldSimple w:instr=" SEQ Рисунок \* ARABIC ">
        <w:r w:rsidR="008A3D96">
          <w:rPr>
            <w:noProof/>
          </w:rPr>
          <w:t>3</w:t>
        </w:r>
      </w:fldSimple>
      <w:r w:rsidRPr="00CC1732">
        <w:t xml:space="preserve"> – </w:t>
      </w:r>
      <w:r>
        <w:t>График распределения точек обучающей и тестовой выборок данных в области определения аппроксимируемой зависимости</w:t>
      </w:r>
    </w:p>
    <w:p w14:paraId="228B4713" w14:textId="77777777" w:rsidR="00CC1732" w:rsidRDefault="00CC1732" w:rsidP="00CC173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1D3D4810" wp14:editId="2FA775F1">
            <wp:extent cx="4189818" cy="329184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371" cy="32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45F4" w14:textId="08D5B9CF" w:rsidR="00CC1732" w:rsidRDefault="00CC1732" w:rsidP="00CC1732">
      <w:pPr>
        <w:pStyle w:val="af0"/>
      </w:pPr>
      <w:r>
        <w:t xml:space="preserve">Рисунок </w:t>
      </w:r>
      <w:fldSimple w:instr=" SEQ Рисунок \* ARABIC ">
        <w:r w:rsidR="008A3D96">
          <w:rPr>
            <w:noProof/>
          </w:rPr>
          <w:t>4</w:t>
        </w:r>
      </w:fldSimple>
      <w:r>
        <w:t xml:space="preserve"> – </w:t>
      </w:r>
      <w:r>
        <w:t>График результата аппроксимации системой нечёткого вывода заданной зависимости до адаптации</w:t>
      </w:r>
    </w:p>
    <w:p w14:paraId="2318C5D2" w14:textId="77777777" w:rsidR="00CC1732" w:rsidRDefault="00CC1732" w:rsidP="00CC173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13713DDD" wp14:editId="22450BE7">
            <wp:extent cx="4833379" cy="38176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102" cy="38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0D4B" w14:textId="755FEC70" w:rsidR="00CC1732" w:rsidRDefault="00CC1732" w:rsidP="00CC1732">
      <w:pPr>
        <w:pStyle w:val="af0"/>
      </w:pPr>
      <w:r>
        <w:t xml:space="preserve">Рисунок </w:t>
      </w:r>
      <w:fldSimple w:instr=" SEQ Рисунок \* ARABIC ">
        <w:r w:rsidR="008A3D96">
          <w:rPr>
            <w:noProof/>
          </w:rPr>
          <w:t>5</w:t>
        </w:r>
      </w:fldSimple>
      <w:r>
        <w:t xml:space="preserve"> – </w:t>
      </w:r>
      <w:r>
        <w:t>График результата аппроксимации системой нечёткого вывода заданной зависимости после адаптации</w:t>
      </w:r>
    </w:p>
    <w:p w14:paraId="17C6A2F2" w14:textId="6C6E4A83" w:rsidR="00CC1732" w:rsidRDefault="00CC1732" w:rsidP="00CC1732">
      <w:pPr>
        <w:pStyle w:val="a5"/>
      </w:pPr>
      <w:r>
        <w:t>Средние квадратические значения ошибки аппроксимации</w:t>
      </w:r>
    </w:p>
    <w:p w14:paraId="5E2D6F09" w14:textId="6BF4D574" w:rsidR="00CC1732" w:rsidRDefault="00CC1732" w:rsidP="00CC1732">
      <w:pPr>
        <w:pStyle w:val="a3"/>
      </w:pPr>
      <w:r>
        <w:t>Средние квадратические значения ошибки аппроксимации</w:t>
      </w:r>
      <w:r>
        <w:t xml:space="preserve"> представлены в таблице 1.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7366"/>
        <w:gridCol w:w="1985"/>
      </w:tblGrid>
      <w:tr w:rsidR="00CC1732" w14:paraId="060B9934" w14:textId="77777777" w:rsidTr="00CC1732">
        <w:tc>
          <w:tcPr>
            <w:tcW w:w="7366" w:type="dxa"/>
          </w:tcPr>
          <w:p w14:paraId="78E51905" w14:textId="77777777" w:rsidR="00CC1732" w:rsidRDefault="00CC1732" w:rsidP="00CC1732">
            <w:pPr>
              <w:pStyle w:val="a3"/>
              <w:ind w:firstLine="0"/>
            </w:pPr>
          </w:p>
        </w:tc>
        <w:tc>
          <w:tcPr>
            <w:tcW w:w="1985" w:type="dxa"/>
          </w:tcPr>
          <w:p w14:paraId="07FDD83F" w14:textId="16FA651A" w:rsidR="00CC1732" w:rsidRDefault="00CC1732" w:rsidP="00CC1732">
            <w:pPr>
              <w:pStyle w:val="a3"/>
              <w:ind w:firstLine="0"/>
            </w:pPr>
            <w:r>
              <w:t>Значение СКО</w:t>
            </w:r>
          </w:p>
        </w:tc>
      </w:tr>
      <w:tr w:rsidR="00CC1732" w14:paraId="26F505DA" w14:textId="77777777" w:rsidTr="00CC1732">
        <w:tc>
          <w:tcPr>
            <w:tcW w:w="7366" w:type="dxa"/>
          </w:tcPr>
          <w:p w14:paraId="41242AA0" w14:textId="17CFC0E3" w:rsidR="00CC1732" w:rsidRDefault="00CC1732" w:rsidP="00CC1732">
            <w:pPr>
              <w:pStyle w:val="a3"/>
              <w:ind w:firstLine="0"/>
            </w:pPr>
            <w:r>
              <w:t>До адаптации</w:t>
            </w:r>
          </w:p>
        </w:tc>
        <w:tc>
          <w:tcPr>
            <w:tcW w:w="1985" w:type="dxa"/>
          </w:tcPr>
          <w:p w14:paraId="23840BC7" w14:textId="72E989EC" w:rsidR="00CC1732" w:rsidRDefault="00CC1732" w:rsidP="00CC1732">
            <w:pPr>
              <w:pStyle w:val="a3"/>
              <w:ind w:firstLine="0"/>
            </w:pPr>
            <w:r>
              <w:t>24.1095</w:t>
            </w:r>
          </w:p>
        </w:tc>
      </w:tr>
      <w:tr w:rsidR="00CC1732" w14:paraId="512CC821" w14:textId="77777777" w:rsidTr="00CC1732">
        <w:tc>
          <w:tcPr>
            <w:tcW w:w="7366" w:type="dxa"/>
          </w:tcPr>
          <w:p w14:paraId="20EE342B" w14:textId="4A40556C" w:rsidR="00CC1732" w:rsidRDefault="00CC1732" w:rsidP="00CC1732">
            <w:pPr>
              <w:pStyle w:val="a3"/>
              <w:ind w:firstLine="0"/>
            </w:pPr>
            <w:r>
              <w:t>после адаптации с использованием масштабирования настраиваемых параметров</w:t>
            </w:r>
          </w:p>
        </w:tc>
        <w:tc>
          <w:tcPr>
            <w:tcW w:w="1985" w:type="dxa"/>
          </w:tcPr>
          <w:p w14:paraId="6D542365" w14:textId="14216C03" w:rsidR="00CC1732" w:rsidRDefault="00CC1732" w:rsidP="00CC1732">
            <w:pPr>
              <w:pStyle w:val="a3"/>
              <w:ind w:firstLine="0"/>
            </w:pPr>
            <w:r>
              <w:t>12.9508</w:t>
            </w:r>
          </w:p>
        </w:tc>
      </w:tr>
      <w:tr w:rsidR="00CC1732" w14:paraId="04778FA0" w14:textId="77777777" w:rsidTr="00CC1732">
        <w:tc>
          <w:tcPr>
            <w:tcW w:w="7366" w:type="dxa"/>
          </w:tcPr>
          <w:p w14:paraId="14DBBA8E" w14:textId="172B3DC5" w:rsidR="00CC1732" w:rsidRDefault="00CC1732" w:rsidP="00CC1732">
            <w:pPr>
              <w:pStyle w:val="a3"/>
              <w:ind w:firstLine="0"/>
            </w:pPr>
            <w:r>
              <w:t>после адаптации без использования масштабирования настраиваемых параметров</w:t>
            </w:r>
          </w:p>
        </w:tc>
        <w:tc>
          <w:tcPr>
            <w:tcW w:w="1985" w:type="dxa"/>
          </w:tcPr>
          <w:p w14:paraId="4C90A5B6" w14:textId="46C44C3B" w:rsidR="00CC1732" w:rsidRDefault="00020233" w:rsidP="00CC1732">
            <w:pPr>
              <w:pStyle w:val="a3"/>
              <w:ind w:firstLine="0"/>
            </w:pPr>
            <w:r>
              <w:t>13.5723</w:t>
            </w:r>
          </w:p>
        </w:tc>
      </w:tr>
    </w:tbl>
    <w:p w14:paraId="2AADAFB7" w14:textId="613965DC" w:rsidR="00CC1732" w:rsidRDefault="00CC1732" w:rsidP="00CC1732">
      <w:pPr>
        <w:pStyle w:val="a3"/>
      </w:pPr>
    </w:p>
    <w:p w14:paraId="7205A0A8" w14:textId="53CCC2D3" w:rsidR="00CC1732" w:rsidRDefault="00CC1732" w:rsidP="00CC1732">
      <w:pPr>
        <w:pStyle w:val="a5"/>
      </w:pPr>
      <w:r>
        <w:lastRenderedPageBreak/>
        <w:t>Вывод</w:t>
      </w:r>
    </w:p>
    <w:p w14:paraId="3EF310BB" w14:textId="45E6DFF5" w:rsidR="00CC1732" w:rsidRDefault="00CC1732" w:rsidP="00CC1732">
      <w:pPr>
        <w:pStyle w:val="a3"/>
      </w:pPr>
      <w:r>
        <w:t xml:space="preserve">В ходе работы было </w:t>
      </w:r>
      <w:r w:rsidR="00020233">
        <w:t>произведено</w:t>
      </w:r>
      <w:r>
        <w:t xml:space="preserve"> </w:t>
      </w:r>
      <w:r w:rsidR="00020233">
        <w:t>и</w:t>
      </w:r>
      <w:r>
        <w:t xml:space="preserve">зучение особенностей построения адаптивных нечётких систем с использованием средств нелинейной оптимизации пакета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системы </w:t>
      </w:r>
      <w:proofErr w:type="spellStart"/>
      <w:r>
        <w:t>MatLab</w:t>
      </w:r>
      <w:proofErr w:type="spellEnd"/>
      <w:r>
        <w:t xml:space="preserve">. </w:t>
      </w:r>
    </w:p>
    <w:p w14:paraId="26ECD234" w14:textId="06980723" w:rsidR="00066158" w:rsidRPr="00CC1732" w:rsidRDefault="00066158" w:rsidP="00066158">
      <w:pPr>
        <w:pStyle w:val="a3"/>
      </w:pPr>
      <w:r>
        <w:t>Аппроксимация системой нечеткого вывода заданной в задании зависимости без использования масштабирующих коэффициентов дает большую среднеквадратичную ошибку, чем аппроксимация с использованием масштабирующих коэффициентов. В процессе аппроксимации удалось снизить СКО в 2 раза.</w:t>
      </w:r>
    </w:p>
    <w:sectPr w:rsidR="00066158" w:rsidRPr="00CC1732" w:rsidSect="00E328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1EE95" w14:textId="77777777" w:rsidR="004541A7" w:rsidRDefault="004541A7" w:rsidP="000E4950">
      <w:pPr>
        <w:spacing w:after="0" w:line="240" w:lineRule="auto"/>
      </w:pPr>
      <w:r>
        <w:separator/>
      </w:r>
    </w:p>
  </w:endnote>
  <w:endnote w:type="continuationSeparator" w:id="0">
    <w:p w14:paraId="521117CF" w14:textId="77777777" w:rsidR="004541A7" w:rsidRDefault="004541A7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6099084"/>
      <w:docPartObj>
        <w:docPartGallery w:val="Page Numbers (Bottom of Page)"/>
        <w:docPartUnique/>
      </w:docPartObj>
    </w:sdtPr>
    <w:sdtEndPr/>
    <w:sdtContent>
      <w:p w14:paraId="7EB08A85" w14:textId="2E24A054" w:rsidR="00267A98" w:rsidRDefault="00267A98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67A98" w:rsidRDefault="00267A9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20E68" w14:textId="77777777" w:rsidR="004541A7" w:rsidRDefault="004541A7" w:rsidP="000E4950">
      <w:pPr>
        <w:spacing w:after="0" w:line="240" w:lineRule="auto"/>
      </w:pPr>
      <w:r>
        <w:separator/>
      </w:r>
    </w:p>
  </w:footnote>
  <w:footnote w:type="continuationSeparator" w:id="0">
    <w:p w14:paraId="32A42420" w14:textId="77777777" w:rsidR="004541A7" w:rsidRDefault="004541A7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0696"/>
    <w:rsid w:val="00002965"/>
    <w:rsid w:val="00010BD8"/>
    <w:rsid w:val="00010DF2"/>
    <w:rsid w:val="00020233"/>
    <w:rsid w:val="000265B5"/>
    <w:rsid w:val="0003021D"/>
    <w:rsid w:val="0003233F"/>
    <w:rsid w:val="0003276F"/>
    <w:rsid w:val="00033963"/>
    <w:rsid w:val="00037DDB"/>
    <w:rsid w:val="00062A0B"/>
    <w:rsid w:val="00066158"/>
    <w:rsid w:val="00066DA5"/>
    <w:rsid w:val="000726CF"/>
    <w:rsid w:val="000740A3"/>
    <w:rsid w:val="00082344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2E3F"/>
    <w:rsid w:val="002274BF"/>
    <w:rsid w:val="002333A6"/>
    <w:rsid w:val="0024082F"/>
    <w:rsid w:val="00240B7B"/>
    <w:rsid w:val="00244E5E"/>
    <w:rsid w:val="002579DE"/>
    <w:rsid w:val="00262426"/>
    <w:rsid w:val="00267A98"/>
    <w:rsid w:val="00271E29"/>
    <w:rsid w:val="0027256E"/>
    <w:rsid w:val="00283923"/>
    <w:rsid w:val="0029164F"/>
    <w:rsid w:val="0029786B"/>
    <w:rsid w:val="002A1BB0"/>
    <w:rsid w:val="002A3AFE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21B2C"/>
    <w:rsid w:val="00334B3B"/>
    <w:rsid w:val="0033726A"/>
    <w:rsid w:val="003403C1"/>
    <w:rsid w:val="00345667"/>
    <w:rsid w:val="00355397"/>
    <w:rsid w:val="00356439"/>
    <w:rsid w:val="00357F93"/>
    <w:rsid w:val="00361AF1"/>
    <w:rsid w:val="0036206B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3F0709"/>
    <w:rsid w:val="0042374A"/>
    <w:rsid w:val="00423EB5"/>
    <w:rsid w:val="004254A6"/>
    <w:rsid w:val="00432C08"/>
    <w:rsid w:val="004341B5"/>
    <w:rsid w:val="004541A7"/>
    <w:rsid w:val="00456D74"/>
    <w:rsid w:val="004604E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06990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0F1"/>
    <w:rsid w:val="00571F0A"/>
    <w:rsid w:val="005816BD"/>
    <w:rsid w:val="005837EA"/>
    <w:rsid w:val="00583AB7"/>
    <w:rsid w:val="005A2442"/>
    <w:rsid w:val="005A44A9"/>
    <w:rsid w:val="005A7808"/>
    <w:rsid w:val="005C282A"/>
    <w:rsid w:val="005D2EFD"/>
    <w:rsid w:val="005D6816"/>
    <w:rsid w:val="005E618D"/>
    <w:rsid w:val="005F46CF"/>
    <w:rsid w:val="00610AD5"/>
    <w:rsid w:val="00611E6B"/>
    <w:rsid w:val="00615A02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A0BF7"/>
    <w:rsid w:val="006B7069"/>
    <w:rsid w:val="006D3CD5"/>
    <w:rsid w:val="006D6F75"/>
    <w:rsid w:val="006F19E2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53102"/>
    <w:rsid w:val="00761C33"/>
    <w:rsid w:val="00762028"/>
    <w:rsid w:val="0076692F"/>
    <w:rsid w:val="007715AD"/>
    <w:rsid w:val="00775262"/>
    <w:rsid w:val="00776C82"/>
    <w:rsid w:val="00785AD9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23758"/>
    <w:rsid w:val="00831152"/>
    <w:rsid w:val="00834CE8"/>
    <w:rsid w:val="008369C5"/>
    <w:rsid w:val="00841EA1"/>
    <w:rsid w:val="00842069"/>
    <w:rsid w:val="00847833"/>
    <w:rsid w:val="008539D0"/>
    <w:rsid w:val="0085460D"/>
    <w:rsid w:val="00855468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3D96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909C7"/>
    <w:rsid w:val="009A0F91"/>
    <w:rsid w:val="009A53E7"/>
    <w:rsid w:val="009B28F5"/>
    <w:rsid w:val="009B75EB"/>
    <w:rsid w:val="009B7984"/>
    <w:rsid w:val="009C15CF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27AAB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82213"/>
    <w:rsid w:val="00A96932"/>
    <w:rsid w:val="00A97670"/>
    <w:rsid w:val="00A97806"/>
    <w:rsid w:val="00A97FE8"/>
    <w:rsid w:val="00AA1C79"/>
    <w:rsid w:val="00AA21ED"/>
    <w:rsid w:val="00AA386B"/>
    <w:rsid w:val="00AC0541"/>
    <w:rsid w:val="00AC35F5"/>
    <w:rsid w:val="00AD0630"/>
    <w:rsid w:val="00AE09DB"/>
    <w:rsid w:val="00AE31EF"/>
    <w:rsid w:val="00AE5CBE"/>
    <w:rsid w:val="00AE7610"/>
    <w:rsid w:val="00B00587"/>
    <w:rsid w:val="00B108A3"/>
    <w:rsid w:val="00B15A89"/>
    <w:rsid w:val="00B31561"/>
    <w:rsid w:val="00B35EE0"/>
    <w:rsid w:val="00B377FA"/>
    <w:rsid w:val="00B6794F"/>
    <w:rsid w:val="00B67FF7"/>
    <w:rsid w:val="00B721E2"/>
    <w:rsid w:val="00B8195A"/>
    <w:rsid w:val="00B87BC8"/>
    <w:rsid w:val="00B948FE"/>
    <w:rsid w:val="00BA3AE0"/>
    <w:rsid w:val="00BB2371"/>
    <w:rsid w:val="00BC01C5"/>
    <w:rsid w:val="00BC7CC4"/>
    <w:rsid w:val="00BE206A"/>
    <w:rsid w:val="00BE2E90"/>
    <w:rsid w:val="00BE3B3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C1732"/>
    <w:rsid w:val="00CC5B6D"/>
    <w:rsid w:val="00CD37F5"/>
    <w:rsid w:val="00CD769A"/>
    <w:rsid w:val="00CE3C96"/>
    <w:rsid w:val="00CE6FD3"/>
    <w:rsid w:val="00CF3527"/>
    <w:rsid w:val="00D01336"/>
    <w:rsid w:val="00D062A3"/>
    <w:rsid w:val="00D12223"/>
    <w:rsid w:val="00D162D9"/>
    <w:rsid w:val="00D1731B"/>
    <w:rsid w:val="00D25335"/>
    <w:rsid w:val="00D328FD"/>
    <w:rsid w:val="00D4178C"/>
    <w:rsid w:val="00D47A21"/>
    <w:rsid w:val="00D47EF7"/>
    <w:rsid w:val="00D52FC7"/>
    <w:rsid w:val="00D53062"/>
    <w:rsid w:val="00D5407E"/>
    <w:rsid w:val="00D60C14"/>
    <w:rsid w:val="00D632CA"/>
    <w:rsid w:val="00D6388A"/>
    <w:rsid w:val="00D64E4D"/>
    <w:rsid w:val="00D67979"/>
    <w:rsid w:val="00D67E01"/>
    <w:rsid w:val="00D71425"/>
    <w:rsid w:val="00D75AEF"/>
    <w:rsid w:val="00D75E15"/>
    <w:rsid w:val="00D8271C"/>
    <w:rsid w:val="00D86978"/>
    <w:rsid w:val="00D95491"/>
    <w:rsid w:val="00D9643F"/>
    <w:rsid w:val="00D96469"/>
    <w:rsid w:val="00DA338F"/>
    <w:rsid w:val="00DA6AC9"/>
    <w:rsid w:val="00DB4E1F"/>
    <w:rsid w:val="00DB6872"/>
    <w:rsid w:val="00DC3B23"/>
    <w:rsid w:val="00DD2580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55617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1A90"/>
    <w:rsid w:val="00F52C1F"/>
    <w:rsid w:val="00F637B1"/>
    <w:rsid w:val="00F73C3F"/>
    <w:rsid w:val="00F918A5"/>
    <w:rsid w:val="00F93E1D"/>
    <w:rsid w:val="00FB5389"/>
    <w:rsid w:val="00FC444A"/>
    <w:rsid w:val="00FD0F5E"/>
    <w:rsid w:val="00FD184B"/>
    <w:rsid w:val="00FD228C"/>
    <w:rsid w:val="00FD4325"/>
    <w:rsid w:val="00FD748F"/>
    <w:rsid w:val="00FD7FA0"/>
    <w:rsid w:val="00FE5CBF"/>
    <w:rsid w:val="00FE6E7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Сидоренко Данил Дмитриевич</cp:lastModifiedBy>
  <cp:revision>40</cp:revision>
  <cp:lastPrinted>2021-12-03T18:45:00Z</cp:lastPrinted>
  <dcterms:created xsi:type="dcterms:W3CDTF">2020-01-20T15:54:00Z</dcterms:created>
  <dcterms:modified xsi:type="dcterms:W3CDTF">2021-12-03T18:46:00Z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