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74263" w14:textId="77777777" w:rsidR="002759BE" w:rsidRDefault="00A9466A">
      <w:r>
        <w:rPr>
          <w:b/>
          <w:color w:val="617177"/>
        </w:rPr>
        <w:t>ANEXO 7 DA POLÍTICA DE CONTROLE TECNOLÓGICO DE OBRAS</w:t>
      </w:r>
    </w:p>
    <w:p w14:paraId="0CDAC681" w14:textId="77777777" w:rsidR="002759BE" w:rsidRDefault="00A9466A">
      <w:pPr>
        <w:spacing w:before="80"/>
      </w:pPr>
      <w:r>
        <w:rPr>
          <w:b/>
          <w:sz w:val="36"/>
        </w:rPr>
        <w:t>Qualificação e cadastro de fontes de materiais</w:t>
      </w:r>
    </w:p>
    <w:p w14:paraId="3FFE0420" w14:textId="77777777" w:rsidR="002759BE" w:rsidRDefault="00A9466A">
      <w:pPr>
        <w:spacing w:before="160"/>
      </w:pPr>
      <w:r>
        <w:rPr>
          <w:color w:val="617177"/>
          <w:sz w:val="21"/>
        </w:rPr>
        <w:t>Código POL-CT-116-A7 · Revisão R00 · 21/10/2026 · Status PR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559"/>
        <w:gridCol w:w="1559"/>
        <w:gridCol w:w="1559"/>
        <w:gridCol w:w="4677"/>
      </w:tblGrid>
      <w:tr w:rsidR="002759BE" w14:paraId="2C02FE69" w14:textId="77777777">
        <w:trPr>
          <w:tblHeader/>
        </w:trPr>
        <w:tc>
          <w:tcPr>
            <w:tcW w:w="1559" w:type="dxa"/>
            <w:shd w:val="clear" w:color="auto" w:fill="F3F2ED"/>
          </w:tcPr>
          <w:p w14:paraId="0EF1217C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Rev.</w:t>
            </w:r>
          </w:p>
        </w:tc>
        <w:tc>
          <w:tcPr>
            <w:tcW w:w="1559" w:type="dxa"/>
            <w:shd w:val="clear" w:color="auto" w:fill="F3F2ED"/>
          </w:tcPr>
          <w:p w14:paraId="539E4E10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Data</w:t>
            </w:r>
          </w:p>
        </w:tc>
        <w:tc>
          <w:tcPr>
            <w:tcW w:w="1559" w:type="dxa"/>
            <w:shd w:val="clear" w:color="auto" w:fill="F3F2ED"/>
          </w:tcPr>
          <w:p w14:paraId="7B25A89B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w="4677" w:type="dxa"/>
            <w:shd w:val="clear" w:color="auto" w:fill="F3F2ED"/>
          </w:tcPr>
          <w:p w14:paraId="6EC2389E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Descrição</w:t>
            </w:r>
          </w:p>
        </w:tc>
      </w:tr>
      <w:tr w:rsidR="002759BE" w14:paraId="1D3BDCCC" w14:textId="77777777">
        <w:tc>
          <w:tcPr>
            <w:tcW w:w="1559" w:type="dxa"/>
          </w:tcPr>
          <w:p w14:paraId="09E6C31C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R00</w:t>
            </w:r>
          </w:p>
        </w:tc>
        <w:tc>
          <w:tcPr>
            <w:tcW w:w="1559" w:type="dxa"/>
          </w:tcPr>
          <w:p w14:paraId="74D7CF27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21/10/2026</w:t>
            </w:r>
          </w:p>
        </w:tc>
        <w:tc>
          <w:tcPr>
            <w:tcW w:w="1559" w:type="dxa"/>
          </w:tcPr>
          <w:p w14:paraId="1632FE09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PR</w:t>
            </w:r>
          </w:p>
        </w:tc>
        <w:tc>
          <w:tcPr>
            <w:tcW w:w="4677" w:type="dxa"/>
          </w:tcPr>
          <w:p w14:paraId="3D486447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Emissão inicial, junto com a Política de Controle Tecnológico R03 (decisão D5 de 21/10/2026)</w:t>
            </w:r>
          </w:p>
        </w:tc>
      </w:tr>
    </w:tbl>
    <w:p w14:paraId="1C925242" w14:textId="77777777" w:rsidR="002759BE" w:rsidRDefault="002759BE">
      <w:pPr>
        <w:spacing w:after="40"/>
      </w:pP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2759BE" w14:paraId="205FFBF0" w14:textId="77777777">
        <w:trPr>
          <w:tblHeader/>
        </w:trPr>
        <w:tc>
          <w:tcPr>
            <w:tcW w:w="4677" w:type="dxa"/>
            <w:shd w:val="clear" w:color="auto" w:fill="F3F2ED"/>
          </w:tcPr>
          <w:p w14:paraId="346A60C7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Elaboração</w:t>
            </w:r>
          </w:p>
        </w:tc>
        <w:tc>
          <w:tcPr>
            <w:tcW w:w="4677" w:type="dxa"/>
            <w:shd w:val="clear" w:color="auto" w:fill="F3F2ED"/>
          </w:tcPr>
          <w:p w14:paraId="700F91F9" w14:textId="77777777" w:rsidR="002759BE" w:rsidRDefault="00A9466A">
            <w:pPr>
              <w:spacing w:after="20" w:line="240" w:lineRule="auto"/>
            </w:pPr>
            <w:r>
              <w:rPr>
                <w:b/>
                <w:sz w:val="19"/>
              </w:rPr>
              <w:t>Aprovação</w:t>
            </w:r>
          </w:p>
        </w:tc>
      </w:tr>
      <w:tr w:rsidR="002759BE" w14:paraId="28A9033D" w14:textId="77777777">
        <w:tc>
          <w:tcPr>
            <w:tcW w:w="4677" w:type="dxa"/>
          </w:tcPr>
          <w:p w14:paraId="1D50F10B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Coordenação de Pavimento e Controle Tecnológico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  <w:tc>
          <w:tcPr>
            <w:tcW w:w="4677" w:type="dxa"/>
          </w:tcPr>
          <w:p w14:paraId="453BF814" w14:textId="77777777" w:rsidR="002759BE" w:rsidRDefault="00A9466A">
            <w:pPr>
              <w:spacing w:after="20" w:line="240" w:lineRule="auto"/>
            </w:pPr>
            <w:r>
              <w:rPr>
                <w:sz w:val="19"/>
              </w:rPr>
              <w:t>Danillo Oliveira, Gerente de Engenharia e Qualidade</w:t>
            </w:r>
            <w:r>
              <w:br/>
            </w:r>
            <w:r>
              <w:rPr>
                <w:sz w:val="19"/>
              </w:rPr>
              <w:t>Assinatura/data: [a assinar na emissão]</w:t>
            </w:r>
          </w:p>
        </w:tc>
      </w:tr>
    </w:tbl>
    <w:p w14:paraId="76EE0B2E" w14:textId="77777777" w:rsidR="002759BE" w:rsidRDefault="002759BE">
      <w:pPr>
        <w:spacing w:after="40"/>
      </w:pPr>
    </w:p>
    <w:p w14:paraId="252FE39E" w14:textId="77777777" w:rsidR="002759BE" w:rsidRDefault="002759BE"/>
    <w:p w14:paraId="393BDA46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t>1. Objeto</w:t>
      </w:r>
    </w:p>
    <w:p w14:paraId="483179E9" w14:textId="77777777" w:rsidR="002759BE" w:rsidRDefault="00A9466A">
      <w:pPr>
        <w:spacing w:after="120"/>
      </w:pPr>
      <w:r>
        <w:t>Este anexo detalha a seção 8 (diligências de qualificação e acompanhamento) e a seção 16 (auditoria de fornecedores) da Política de Controle Tecnológico de Obras para as fontes de materiais: pedreiras, jazidas de solo, areais, usinas de asfalto, centrais de concreto, fornecedores de ligante, cimento, aço e materiais industrializados. Fixa o dossiê mínimo de qualificação, os estados de cada fonte, o cadastro e o vínculo entre fonte e lote.</w:t>
      </w:r>
    </w:p>
    <w:p w14:paraId="2D1EA840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t>2. Regra geral</w:t>
      </w:r>
    </w:p>
    <w:p w14:paraId="0C297978" w14:textId="77777777" w:rsidR="002759BE" w:rsidRDefault="00A9466A">
      <w:pPr>
        <w:spacing w:after="120"/>
      </w:pPr>
      <w:r>
        <w:t>Nenhum material entra em lote de obra sem fonte no estado "qualificada" no cadastro da Concessionária. A qualificação é da fonte para um uso (concreto, mistura asfáltica, camada granular, aterro, tratamento superficial): a mesma pedreira pode estar qualificada para base e não para concreto. A EXECUTORA propõe a fonte e monta o dossiê; o laboratório contratado ensaia a amostra de qualificação por OS; a Coordenação de Pavimento e Controle Tecnológico decide e registra; a Gerência de Engenharia e Qualidade apr</w:t>
      </w:r>
      <w:r>
        <w:t>ova fonte nova de pedreira ou jazida aberta para a obra.</w:t>
      </w:r>
    </w:p>
    <w:p w14:paraId="2E259862" w14:textId="77777777" w:rsidR="002759BE" w:rsidRDefault="00A9466A">
      <w:pPr>
        <w:spacing w:after="120"/>
      </w:pPr>
      <w:r>
        <w:t>Fonte comercial com produção contínua (cimento, ligante, aço, tubos, dispositivos) qualifica-se pelo certificado do fabricante e por ensaio de recebimento quando a especificação exigir; a diligência é no fornecedor, não na lavra.</w:t>
      </w:r>
    </w:p>
    <w:p w14:paraId="7353AC62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t>3. Tipos de fonte e dossiê mínimo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2759BE" w14:paraId="20E69607" w14:textId="77777777">
        <w:trPr>
          <w:tblHeader/>
        </w:trPr>
        <w:tc>
          <w:tcPr>
            <w:tcW w:w="3118" w:type="dxa"/>
            <w:shd w:val="clear" w:color="auto" w:fill="F3F2ED"/>
          </w:tcPr>
          <w:p w14:paraId="6C092210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Tipo</w:t>
            </w:r>
          </w:p>
        </w:tc>
        <w:tc>
          <w:tcPr>
            <w:tcW w:w="3118" w:type="dxa"/>
            <w:shd w:val="clear" w:color="auto" w:fill="F3F2ED"/>
          </w:tcPr>
          <w:p w14:paraId="356CA065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Dossiê de qualificação</w:t>
            </w:r>
          </w:p>
        </w:tc>
        <w:tc>
          <w:tcPr>
            <w:tcW w:w="3118" w:type="dxa"/>
            <w:shd w:val="clear" w:color="auto" w:fill="F3F2ED"/>
          </w:tcPr>
          <w:p w14:paraId="235221C7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Normas de referência</w:t>
            </w:r>
          </w:p>
        </w:tc>
      </w:tr>
      <w:tr w:rsidR="002759BE" w14:paraId="15BA8A71" w14:textId="77777777">
        <w:tc>
          <w:tcPr>
            <w:tcW w:w="3118" w:type="dxa"/>
          </w:tcPr>
          <w:p w14:paraId="4916500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 xml:space="preserve">Pedreira (agregado para concreto, mistura asfáltica, camada granular, </w:t>
            </w:r>
            <w:r>
              <w:rPr>
                <w:sz w:val="18"/>
              </w:rPr>
              <w:lastRenderedPageBreak/>
              <w:t>enrocamento)</w:t>
            </w:r>
          </w:p>
        </w:tc>
        <w:tc>
          <w:tcPr>
            <w:tcW w:w="3118" w:type="dxa"/>
          </w:tcPr>
          <w:p w14:paraId="7807F87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Situação legal (título ou dispensa da ANM, licença ambiental, autorização </w:t>
            </w:r>
            <w:r>
              <w:rPr>
                <w:sz w:val="18"/>
              </w:rPr>
              <w:lastRenderedPageBreak/>
              <w:t>do proprietário); mapeamento geológico de superfície e, quando a produção exigir, de subsuperfície, com litotipos, grau de alteração, fraturamento, capa estéril e volume explorável; amostras de 100 kg a 130 kg por litotipo, coletadas 20 cm abaixo da rocha sã, etiquetadas; análise petrográfica com minerais deletérios e potencial de reatividade álcali-agregado quando o uso for concreto; caracterização por uso (Los Angeles, sanidade, forma, absorção e densidade, partículas fraturadas, adesividade para asfalto;</w:t>
            </w:r>
            <w:r>
              <w:rPr>
                <w:sz w:val="18"/>
              </w:rPr>
              <w:t xml:space="preserve"> granulometria das frações produzidas); DMT até a obra; plano de lavra e de britagem</w:t>
            </w:r>
          </w:p>
        </w:tc>
        <w:tc>
          <w:tcPr>
            <w:tcW w:w="3118" w:type="dxa"/>
          </w:tcPr>
          <w:p w14:paraId="64D3358F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DNIT 257/2021-PRO, DNIT 435/2021-PRO, DNIT 461/2025-PRO, DNIT </w:t>
            </w:r>
            <w:r>
              <w:rPr>
                <w:sz w:val="18"/>
              </w:rPr>
              <w:lastRenderedPageBreak/>
              <w:t>455/2025-PRO, NBR 7211 (concreto), DNIT 070/2006-PRO</w:t>
            </w:r>
          </w:p>
        </w:tc>
      </w:tr>
      <w:tr w:rsidR="002759BE" w14:paraId="6AB9C3BA" w14:textId="77777777">
        <w:tc>
          <w:tcPr>
            <w:tcW w:w="3118" w:type="dxa"/>
          </w:tcPr>
          <w:p w14:paraId="305DBC3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lastRenderedPageBreak/>
              <w:t>Jazida de solo e empréstimo (aterro, camada final, reforço, sub-base, base estabilizada)</w:t>
            </w:r>
          </w:p>
        </w:tc>
        <w:tc>
          <w:tcPr>
            <w:tcW w:w="3118" w:type="dxa"/>
          </w:tcPr>
          <w:p w14:paraId="170A2F1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Situação legal e ambiental; delimitação da área e dos horizontes utilizáveis com volume; furos de reconhecimento em malha definida no PCT, com descrição táctil-visual e espessura da capa estéril; caracterização por horizonte (granulometria, limites, compactação na energia do uso, ISC e expansão; MCT e perda de massa por imersão quando houver indício laterítico); plano de exploração e de recuperação da área</w:t>
            </w:r>
          </w:p>
        </w:tc>
        <w:tc>
          <w:tcPr>
            <w:tcW w:w="3118" w:type="dxa"/>
          </w:tcPr>
          <w:p w14:paraId="7CBC9C01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DNIT 107/2009-ES, DNIT 106/2009-ES, DNIT 108/2009-ES, DNIT 098/2007-ES, DNIT 070/2006-PRO, métodos de ensaio do Anexo 6</w:t>
            </w:r>
          </w:p>
        </w:tc>
      </w:tr>
      <w:tr w:rsidR="002759BE" w14:paraId="1B474B4C" w14:textId="77777777">
        <w:tc>
          <w:tcPr>
            <w:tcW w:w="3118" w:type="dxa"/>
          </w:tcPr>
          <w:p w14:paraId="7396B00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Areal e agregado miúdo (natural ou de britagem)</w:t>
            </w:r>
          </w:p>
        </w:tc>
        <w:tc>
          <w:tcPr>
            <w:tcW w:w="3118" w:type="dxa"/>
          </w:tcPr>
          <w:p w14:paraId="76EBE73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Situação legal e ambiental; granulometria, módulo de finura, material pulverulento, equivalente de areia, impurezas orgânicas e torrões de argila; sais, cloretos e sulfatos quando o uso for concreto</w:t>
            </w:r>
          </w:p>
        </w:tc>
        <w:tc>
          <w:tcPr>
            <w:tcW w:w="3118" w:type="dxa"/>
          </w:tcPr>
          <w:p w14:paraId="5313022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NBR 7211, NBR 7218, NBR 9917, DNIT 266/2025-ME, DNIT 450/2024-ME</w:t>
            </w:r>
          </w:p>
        </w:tc>
      </w:tr>
      <w:tr w:rsidR="002759BE" w14:paraId="13D251F1" w14:textId="77777777">
        <w:tc>
          <w:tcPr>
            <w:tcW w:w="3118" w:type="dxa"/>
          </w:tcPr>
          <w:p w14:paraId="1920590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Usina de asfalto</w:t>
            </w:r>
          </w:p>
        </w:tc>
        <w:tc>
          <w:tcPr>
            <w:tcW w:w="3118" w:type="dxa"/>
          </w:tcPr>
          <w:p w14:paraId="090376A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Localização e DMT; licença de operação; tipo e capacidade; calibração das balanças e dos medidores de ligante e de temperatura com certificado; silos frios e quente; estoque e origem dos agregados por silo; laboratório de usina com equipamentos e responsável; traços aprovados</w:t>
            </w:r>
          </w:p>
        </w:tc>
        <w:tc>
          <w:tcPr>
            <w:tcW w:w="3118" w:type="dxa"/>
          </w:tcPr>
          <w:p w14:paraId="64EA83E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DNIT 031/2024-ES, Anexo 9 desta política</w:t>
            </w:r>
          </w:p>
        </w:tc>
      </w:tr>
      <w:tr w:rsidR="002759BE" w14:paraId="648B5F36" w14:textId="77777777">
        <w:tc>
          <w:tcPr>
            <w:tcW w:w="3118" w:type="dxa"/>
          </w:tcPr>
          <w:p w14:paraId="069E400E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Central de concreto (comercial ou de obra)</w:t>
            </w:r>
          </w:p>
        </w:tc>
        <w:tc>
          <w:tcPr>
            <w:tcW w:w="3118" w:type="dxa"/>
          </w:tcPr>
          <w:p w14:paraId="000C00B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Licença de operação; tipo de central; calibração rastreável das balanças a cada 6 meses e após mudança de local; origem e estoque de cimento, agregados, aditivos e água; estudo de dosagem racional por traço; registro de água adicionada por viagem; laboratório e responsável técnico</w:t>
            </w:r>
          </w:p>
        </w:tc>
        <w:tc>
          <w:tcPr>
            <w:tcW w:w="3118" w:type="dxa"/>
          </w:tcPr>
          <w:p w14:paraId="6784966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NBR 7212:2024, NBR 12655:2022, Anexo 9 desta política</w:t>
            </w:r>
          </w:p>
        </w:tc>
      </w:tr>
      <w:tr w:rsidR="002759BE" w14:paraId="1F77AECF" w14:textId="77777777">
        <w:tc>
          <w:tcPr>
            <w:tcW w:w="3118" w:type="dxa"/>
          </w:tcPr>
          <w:p w14:paraId="51D0880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Fornecedor de ligante asfáltico e emulsão</w:t>
            </w:r>
          </w:p>
        </w:tc>
        <w:tc>
          <w:tcPr>
            <w:tcW w:w="3118" w:type="dxa"/>
          </w:tcPr>
          <w:p w14:paraId="47FEBC6C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 xml:space="preserve">Registro na ANP; certificado de qualidade por carga com os ensaios da </w:t>
            </w:r>
            <w:r>
              <w:rPr>
                <w:sz w:val="18"/>
              </w:rPr>
              <w:lastRenderedPageBreak/>
              <w:t>especificação; rastreio carga, tanque e lote; condições de transporte e armazenamento</w:t>
            </w:r>
          </w:p>
        </w:tc>
        <w:tc>
          <w:tcPr>
            <w:tcW w:w="3118" w:type="dxa"/>
          </w:tcPr>
          <w:p w14:paraId="128F5334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lastRenderedPageBreak/>
              <w:t xml:space="preserve">DNIT 031/2024-ES (CAP), DNIT 385/2026-ES (modificado), </w:t>
            </w:r>
            <w:r>
              <w:rPr>
                <w:sz w:val="18"/>
              </w:rPr>
              <w:lastRenderedPageBreak/>
              <w:t>especificações de emulsão citadas no Anexo 6</w:t>
            </w:r>
          </w:p>
        </w:tc>
      </w:tr>
      <w:tr w:rsidR="002759BE" w14:paraId="627522EF" w14:textId="77777777">
        <w:tc>
          <w:tcPr>
            <w:tcW w:w="3118" w:type="dxa"/>
          </w:tcPr>
          <w:p w14:paraId="4D7A088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lastRenderedPageBreak/>
              <w:t>Fornecedor de cimento, aditivos e adições</w:t>
            </w:r>
          </w:p>
        </w:tc>
        <w:tc>
          <w:tcPr>
            <w:tcW w:w="3118" w:type="dxa"/>
          </w:tcPr>
          <w:p w14:paraId="5DA5E7E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Certificado por lote (tipo, classe, data de fabricação, validade de 90 dias); armazenamento no canteiro; exemplar testemunha quando houver dúvida</w:t>
            </w:r>
          </w:p>
        </w:tc>
        <w:tc>
          <w:tcPr>
            <w:tcW w:w="3118" w:type="dxa"/>
          </w:tcPr>
          <w:p w14:paraId="40BE5FFC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NBR 16697:2018, NBR 11768</w:t>
            </w:r>
          </w:p>
        </w:tc>
      </w:tr>
      <w:tr w:rsidR="002759BE" w14:paraId="09382F12" w14:textId="77777777">
        <w:tc>
          <w:tcPr>
            <w:tcW w:w="3118" w:type="dxa"/>
          </w:tcPr>
          <w:p w14:paraId="42CA033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Fornecedor de aço, tubos, dispositivos de segurança, películas e geossintéticos</w:t>
            </w:r>
          </w:p>
        </w:tc>
        <w:tc>
          <w:tcPr>
            <w:tcW w:w="3118" w:type="dxa"/>
          </w:tcPr>
          <w:p w14:paraId="5AEB21E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Certificado de conformidade por lote de fornecimento; relatório de ensaio do fabricante; para defensas, terminais, atenuadores e barreiras, relatório de ensaio do sistema (EN 1317 ou MASH) no nível de contenção do projeto antes do primeiro fornecimento; ensaio de recebimento conforme o Anexo 6</w:t>
            </w:r>
          </w:p>
        </w:tc>
        <w:tc>
          <w:tcPr>
            <w:tcW w:w="3118" w:type="dxa"/>
          </w:tcPr>
          <w:p w14:paraId="097FDC6E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NBR 7480, NBR 8890, NBR 14644, NBR 14636, NBR 15486, NBR 14885, DNIT 161/2022-EM</w:t>
            </w:r>
          </w:p>
        </w:tc>
      </w:tr>
    </w:tbl>
    <w:p w14:paraId="4B72877A" w14:textId="77777777" w:rsidR="002759BE" w:rsidRDefault="002759BE">
      <w:pPr>
        <w:spacing w:after="40"/>
      </w:pPr>
    </w:p>
    <w:p w14:paraId="03C4272B" w14:textId="77777777" w:rsidR="002759BE" w:rsidRDefault="00A9466A">
      <w:pPr>
        <w:spacing w:after="120"/>
      </w:pPr>
      <w:r>
        <w:t>Fonte de material reciclado (fresado, agregado de RCD, escória) exige, além do dossiê do tipo correspondente, a origem, a homogeneidade do estoque e os ensaios de expansão ou contaminação exigidos pela especificação (DNIT 113/2009-ME para escória).</w:t>
      </w:r>
    </w:p>
    <w:p w14:paraId="171F59EA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t>4. Estados da fonte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05"/>
        <w:gridCol w:w="2893"/>
        <w:gridCol w:w="2363"/>
        <w:gridCol w:w="2893"/>
      </w:tblGrid>
      <w:tr w:rsidR="002759BE" w14:paraId="1A7DB4E5" w14:textId="77777777">
        <w:trPr>
          <w:tblHeader/>
        </w:trPr>
        <w:tc>
          <w:tcPr>
            <w:tcW w:w="1205" w:type="dxa"/>
            <w:shd w:val="clear" w:color="auto" w:fill="F3F2ED"/>
          </w:tcPr>
          <w:p w14:paraId="28C92FD0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w="2893" w:type="dxa"/>
            <w:shd w:val="clear" w:color="auto" w:fill="F3F2ED"/>
          </w:tcPr>
          <w:p w14:paraId="493C152E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Significado</w:t>
            </w:r>
          </w:p>
        </w:tc>
        <w:tc>
          <w:tcPr>
            <w:tcW w:w="2363" w:type="dxa"/>
            <w:shd w:val="clear" w:color="auto" w:fill="F3F2ED"/>
          </w:tcPr>
          <w:p w14:paraId="21055EA7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Quem muda</w:t>
            </w:r>
          </w:p>
        </w:tc>
        <w:tc>
          <w:tcPr>
            <w:tcW w:w="2893" w:type="dxa"/>
            <w:shd w:val="clear" w:color="auto" w:fill="F3F2ED"/>
          </w:tcPr>
          <w:p w14:paraId="660CF772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Efeito</w:t>
            </w:r>
          </w:p>
        </w:tc>
      </w:tr>
      <w:tr w:rsidR="002759BE" w14:paraId="0EA16BE6" w14:textId="77777777">
        <w:tc>
          <w:tcPr>
            <w:tcW w:w="1205" w:type="dxa"/>
          </w:tcPr>
          <w:p w14:paraId="63917EEB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Em estudo</w:t>
            </w:r>
          </w:p>
        </w:tc>
        <w:tc>
          <w:tcPr>
            <w:tcW w:w="2893" w:type="dxa"/>
          </w:tcPr>
          <w:p w14:paraId="5FBEF36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Dossiê em montagem; amostra de qualificação coletada ou ensaiada</w:t>
            </w:r>
          </w:p>
        </w:tc>
        <w:tc>
          <w:tcPr>
            <w:tcW w:w="2363" w:type="dxa"/>
          </w:tcPr>
          <w:p w14:paraId="3B8BD3A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EXECUTORA, com OS do laboratório</w:t>
            </w:r>
          </w:p>
        </w:tc>
        <w:tc>
          <w:tcPr>
            <w:tcW w:w="2893" w:type="dxa"/>
          </w:tcPr>
          <w:p w14:paraId="7E43EB2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Nenhum uso em lote</w:t>
            </w:r>
          </w:p>
        </w:tc>
      </w:tr>
      <w:tr w:rsidR="002759BE" w14:paraId="4EE0113D" w14:textId="77777777">
        <w:tc>
          <w:tcPr>
            <w:tcW w:w="1205" w:type="dxa"/>
          </w:tcPr>
          <w:p w14:paraId="61B50E8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Qualificada</w:t>
            </w:r>
          </w:p>
        </w:tc>
        <w:tc>
          <w:tcPr>
            <w:tcW w:w="2893" w:type="dxa"/>
          </w:tcPr>
          <w:p w14:paraId="79FB1ED1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Dossiê completo, resultados dentro da especificação do uso, diligência de qualificação registrada, aprovação da Coordenação (ou da Gerência, em pedreira e jazida nova)</w:t>
            </w:r>
          </w:p>
        </w:tc>
        <w:tc>
          <w:tcPr>
            <w:tcW w:w="2363" w:type="dxa"/>
          </w:tcPr>
          <w:p w14:paraId="31DA2699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Coordenação</w:t>
            </w:r>
          </w:p>
        </w:tc>
        <w:tc>
          <w:tcPr>
            <w:tcW w:w="2893" w:type="dxa"/>
          </w:tcPr>
          <w:p w14:paraId="19077A0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Uso permitido no lote e no uso aprovados; vale até a próxima reavaliação</w:t>
            </w:r>
          </w:p>
        </w:tc>
      </w:tr>
      <w:tr w:rsidR="002759BE" w14:paraId="0069A744" w14:textId="77777777">
        <w:tc>
          <w:tcPr>
            <w:tcW w:w="1205" w:type="dxa"/>
          </w:tcPr>
          <w:p w14:paraId="050236B1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Qualificada com restrição</w:t>
            </w:r>
          </w:p>
        </w:tc>
        <w:tc>
          <w:tcPr>
            <w:tcW w:w="2893" w:type="dxa"/>
          </w:tcPr>
          <w:p w14:paraId="40F8DC7F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Atende a um uso e não a outro, ou atende só a um horizonte ou frente de lavra</w:t>
            </w:r>
          </w:p>
        </w:tc>
        <w:tc>
          <w:tcPr>
            <w:tcW w:w="2363" w:type="dxa"/>
          </w:tcPr>
          <w:p w14:paraId="262FD6D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Coordenação</w:t>
            </w:r>
          </w:p>
        </w:tc>
        <w:tc>
          <w:tcPr>
            <w:tcW w:w="2893" w:type="dxa"/>
          </w:tcPr>
          <w:p w14:paraId="1450F23C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Uso permitido só no escopo registrado</w:t>
            </w:r>
          </w:p>
        </w:tc>
      </w:tr>
      <w:tr w:rsidR="002759BE" w14:paraId="7FBBC2BC" w14:textId="77777777">
        <w:tc>
          <w:tcPr>
            <w:tcW w:w="1205" w:type="dxa"/>
          </w:tcPr>
          <w:p w14:paraId="7042896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Suspensa</w:t>
            </w:r>
          </w:p>
        </w:tc>
        <w:tc>
          <w:tcPr>
            <w:tcW w:w="2893" w:type="dxa"/>
          </w:tcPr>
          <w:p w14:paraId="439E535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RNC repetida, divergência sistemática, mudança de frente de lavra sem reavaliação, licença vencida, calibração vencida na usina ou central</w:t>
            </w:r>
          </w:p>
        </w:tc>
        <w:tc>
          <w:tcPr>
            <w:tcW w:w="2363" w:type="dxa"/>
          </w:tcPr>
          <w:p w14:paraId="2BF022DF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Coordenação; comunicação à EXECUTORA no mesmo dia</w:t>
            </w:r>
          </w:p>
        </w:tc>
        <w:tc>
          <w:tcPr>
            <w:tcW w:w="2893" w:type="dxa"/>
          </w:tcPr>
          <w:p w14:paraId="36769EE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Nenhum uso até nova diligência; lotes em produção ficam bloqueados</w:t>
            </w:r>
          </w:p>
        </w:tc>
      </w:tr>
      <w:tr w:rsidR="002759BE" w14:paraId="1F690C19" w14:textId="77777777">
        <w:tc>
          <w:tcPr>
            <w:tcW w:w="1205" w:type="dxa"/>
          </w:tcPr>
          <w:p w14:paraId="612AA1E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Esgotada ou encerrada</w:t>
            </w:r>
          </w:p>
        </w:tc>
        <w:tc>
          <w:tcPr>
            <w:tcW w:w="2893" w:type="dxa"/>
          </w:tcPr>
          <w:p w14:paraId="3B92F63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Volume consumido, lavra encerrada, contrato encerrado</w:t>
            </w:r>
          </w:p>
        </w:tc>
        <w:tc>
          <w:tcPr>
            <w:tcW w:w="2363" w:type="dxa"/>
          </w:tcPr>
          <w:p w14:paraId="0FFC4BC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Coordenação</w:t>
            </w:r>
          </w:p>
        </w:tc>
        <w:tc>
          <w:tcPr>
            <w:tcW w:w="2893" w:type="dxa"/>
          </w:tcPr>
          <w:p w14:paraId="5CF4338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Histórico preservado; recuperação da área registrada</w:t>
            </w:r>
          </w:p>
        </w:tc>
      </w:tr>
    </w:tbl>
    <w:p w14:paraId="1C01D6F4" w14:textId="77777777" w:rsidR="002759BE" w:rsidRDefault="002759BE">
      <w:pPr>
        <w:spacing w:after="40"/>
      </w:pPr>
    </w:p>
    <w:p w14:paraId="0DA00724" w14:textId="77777777" w:rsidR="002759BE" w:rsidRDefault="00A9466A">
      <w:pPr>
        <w:spacing w:after="120"/>
      </w:pPr>
      <w:r>
        <w:t>A reavaliação é obrigatória a cada 5.000 m³ de agregado ou solo, a cada 3 meses de produção contínua, a cada mudança comprovada de material, de frente de lavra, de britagem, de fornecedor de cimento ou de ligante, e sempre que a verificação independente mostrar desvio sistemático na família do material.</w:t>
      </w:r>
    </w:p>
    <w:p w14:paraId="4F3EA1E8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5. Diligências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35"/>
        <w:gridCol w:w="2806"/>
        <w:gridCol w:w="2806"/>
        <w:gridCol w:w="2806"/>
      </w:tblGrid>
      <w:tr w:rsidR="002759BE" w14:paraId="3A2FE799" w14:textId="77777777">
        <w:trPr>
          <w:tblHeader/>
        </w:trPr>
        <w:tc>
          <w:tcPr>
            <w:tcW w:w="935" w:type="dxa"/>
            <w:shd w:val="clear" w:color="auto" w:fill="F3F2ED"/>
          </w:tcPr>
          <w:p w14:paraId="30D6131B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Diligência</w:t>
            </w:r>
          </w:p>
        </w:tc>
        <w:tc>
          <w:tcPr>
            <w:tcW w:w="2806" w:type="dxa"/>
            <w:shd w:val="clear" w:color="auto" w:fill="F3F2ED"/>
          </w:tcPr>
          <w:p w14:paraId="1FA7B3C6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Quando</w:t>
            </w:r>
          </w:p>
        </w:tc>
        <w:tc>
          <w:tcPr>
            <w:tcW w:w="2806" w:type="dxa"/>
            <w:shd w:val="clear" w:color="auto" w:fill="F3F2ED"/>
          </w:tcPr>
          <w:p w14:paraId="7FA878E9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O que se verifica</w:t>
            </w:r>
          </w:p>
        </w:tc>
        <w:tc>
          <w:tcPr>
            <w:tcW w:w="2806" w:type="dxa"/>
            <w:shd w:val="clear" w:color="auto" w:fill="F3F2ED"/>
          </w:tcPr>
          <w:p w14:paraId="7D337582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Registro</w:t>
            </w:r>
          </w:p>
        </w:tc>
      </w:tr>
      <w:tr w:rsidR="002759BE" w14:paraId="61819E38" w14:textId="77777777">
        <w:tc>
          <w:tcPr>
            <w:tcW w:w="935" w:type="dxa"/>
          </w:tcPr>
          <w:p w14:paraId="5AD4BDA9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Qualificação</w:t>
            </w:r>
          </w:p>
        </w:tc>
        <w:tc>
          <w:tcPr>
            <w:tcW w:w="2806" w:type="dxa"/>
          </w:tcPr>
          <w:p w14:paraId="2E7CD78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Antes do primeiro uso</w:t>
            </w:r>
          </w:p>
        </w:tc>
        <w:tc>
          <w:tcPr>
            <w:tcW w:w="2806" w:type="dxa"/>
          </w:tcPr>
          <w:p w14:paraId="06646B4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Dossiê da seção 3; condições de lavra, britagem ou produção; laboratório da fonte; estoque e segregação; coleta da amostra de qualificação testemunhada</w:t>
            </w:r>
          </w:p>
        </w:tc>
        <w:tc>
          <w:tcPr>
            <w:tcW w:w="2806" w:type="dxa"/>
          </w:tcPr>
          <w:p w14:paraId="5574162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Relatório de diligência com fotografias, coordenadas e decisão</w:t>
            </w:r>
          </w:p>
        </w:tc>
      </w:tr>
      <w:tr w:rsidR="002759BE" w14:paraId="5C5762CC" w14:textId="77777777">
        <w:tc>
          <w:tcPr>
            <w:tcW w:w="935" w:type="dxa"/>
          </w:tcPr>
          <w:p w14:paraId="449FA6F5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Acompanhamento</w:t>
            </w:r>
          </w:p>
        </w:tc>
        <w:tc>
          <w:tcPr>
            <w:tcW w:w="2806" w:type="dxa"/>
          </w:tcPr>
          <w:p w14:paraId="3BD4CBF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Trimestral enquanto a fonte estiver em uso</w:t>
            </w:r>
          </w:p>
        </w:tc>
        <w:tc>
          <w:tcPr>
            <w:tcW w:w="2806" w:type="dxa"/>
          </w:tcPr>
          <w:p w14:paraId="6DA176B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Frente de lavra ou horizonte em exploração igual ao qualificado; calibrações vigentes; resultados do controle da execução coerentes com a verificação independente; licenças válidas</w:t>
            </w:r>
          </w:p>
        </w:tc>
        <w:tc>
          <w:tcPr>
            <w:tcW w:w="2806" w:type="dxa"/>
          </w:tcPr>
          <w:p w14:paraId="6654C005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Relatório de diligência; atualização do cadastro</w:t>
            </w:r>
          </w:p>
        </w:tc>
      </w:tr>
      <w:tr w:rsidR="002759BE" w14:paraId="18FD3820" w14:textId="77777777">
        <w:tc>
          <w:tcPr>
            <w:tcW w:w="935" w:type="dxa"/>
          </w:tcPr>
          <w:p w14:paraId="1F7603E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Extraordinária</w:t>
            </w:r>
          </w:p>
        </w:tc>
        <w:tc>
          <w:tcPr>
            <w:tcW w:w="2806" w:type="dxa"/>
          </w:tcPr>
          <w:p w14:paraId="0D81707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RNC crítica ou repetida; divergência sistemática; suspeita de troca de material; denúncia</w:t>
            </w:r>
          </w:p>
        </w:tc>
        <w:tc>
          <w:tcPr>
            <w:tcW w:w="2806" w:type="dxa"/>
          </w:tcPr>
          <w:p w14:paraId="39C3749F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Causa do desvio; amostragem dirigida; decisão de suspensão ou de manutenção com restrição</w:t>
            </w:r>
          </w:p>
        </w:tc>
        <w:tc>
          <w:tcPr>
            <w:tcW w:w="2806" w:type="dxa"/>
          </w:tcPr>
          <w:p w14:paraId="1A5DBBE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Relatório e RNC vinculado</w:t>
            </w:r>
          </w:p>
        </w:tc>
      </w:tr>
    </w:tbl>
    <w:p w14:paraId="455EDC7F" w14:textId="77777777" w:rsidR="002759BE" w:rsidRDefault="002759BE">
      <w:pPr>
        <w:spacing w:after="40"/>
      </w:pPr>
    </w:p>
    <w:p w14:paraId="633DC8CE" w14:textId="77777777" w:rsidR="002759BE" w:rsidRDefault="00A9466A">
      <w:pPr>
        <w:spacing w:after="120"/>
      </w:pPr>
      <w:r>
        <w:t>A diligência é feita pela Coordenação ou pela Fiscalização, com o laboratório contratado por OS quando houver coleta. A EXECUTORA e o fornecedor franqueiam acesso, conforme os contratos de obra e de fornecimento (seção 16 da Política).</w:t>
      </w:r>
    </w:p>
    <w:p w14:paraId="544D6A6A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t>6. Cadastro de fontes</w:t>
      </w:r>
    </w:p>
    <w:p w14:paraId="38F84DB5" w14:textId="77777777" w:rsidR="002759BE" w:rsidRDefault="00A9466A">
      <w:pPr>
        <w:spacing w:after="120"/>
      </w:pPr>
      <w:r>
        <w:t>O cadastro é mantido pela Coordenação de Pavimento e Controle Tecnológico no CDE (lista "Fontes de materiais" do site da Política, na Central BIM) e migra para a plataforma de dados da Concessionária, o Pavicycle.Studio, quando ela entrar em operação; a partir daí, o cadastro na plataforma é o registro oficial e o CDE guarda o dossiê assinado.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7016"/>
      </w:tblGrid>
      <w:tr w:rsidR="002759BE" w14:paraId="173334E9" w14:textId="77777777">
        <w:trPr>
          <w:tblHeader/>
        </w:trPr>
        <w:tc>
          <w:tcPr>
            <w:tcW w:w="2339" w:type="dxa"/>
            <w:shd w:val="clear" w:color="auto" w:fill="F3F2ED"/>
          </w:tcPr>
          <w:p w14:paraId="28C9F37E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7016" w:type="dxa"/>
            <w:shd w:val="clear" w:color="auto" w:fill="F3F2ED"/>
          </w:tcPr>
          <w:p w14:paraId="668F0156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2759BE" w14:paraId="4E944E9A" w14:textId="77777777">
        <w:tc>
          <w:tcPr>
            <w:tcW w:w="2339" w:type="dxa"/>
          </w:tcPr>
          <w:p w14:paraId="22817B01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Código da fonte</w:t>
            </w:r>
          </w:p>
        </w:tc>
        <w:tc>
          <w:tcPr>
            <w:tcW w:w="7016" w:type="dxa"/>
          </w:tcPr>
          <w:p w14:paraId="5C589D3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FT-ZZ-NNN (zona do acervo e sequencial); não se reutiliza</w:t>
            </w:r>
          </w:p>
        </w:tc>
      </w:tr>
      <w:tr w:rsidR="002759BE" w14:paraId="5CEF5B97" w14:textId="77777777">
        <w:tc>
          <w:tcPr>
            <w:tcW w:w="2339" w:type="dxa"/>
          </w:tcPr>
          <w:p w14:paraId="2A983AF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Tipo e uso</w:t>
            </w:r>
          </w:p>
        </w:tc>
        <w:tc>
          <w:tcPr>
            <w:tcW w:w="7016" w:type="dxa"/>
          </w:tcPr>
          <w:p w14:paraId="2D1A16F4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Tipo da seção 3; usos qualificados</w:t>
            </w:r>
          </w:p>
        </w:tc>
      </w:tr>
      <w:tr w:rsidR="002759BE" w14:paraId="5A957B20" w14:textId="77777777">
        <w:tc>
          <w:tcPr>
            <w:tcW w:w="2339" w:type="dxa"/>
          </w:tcPr>
          <w:p w14:paraId="65999E99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Localização</w:t>
            </w:r>
          </w:p>
        </w:tc>
        <w:tc>
          <w:tcPr>
            <w:tcW w:w="7016" w:type="dxa"/>
          </w:tcPr>
          <w:p w14:paraId="51663F41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Município, rodovia de acesso, km do PER e km do SNV 202607A do ponto de entrada, coordenadas SIRGAS 2000 em UTM com fuso e hemisfério, DMT à obra ou à usina</w:t>
            </w:r>
          </w:p>
        </w:tc>
      </w:tr>
      <w:tr w:rsidR="002759BE" w14:paraId="5E0E11B0" w14:textId="77777777">
        <w:tc>
          <w:tcPr>
            <w:tcW w:w="2339" w:type="dxa"/>
          </w:tcPr>
          <w:p w14:paraId="33A164A6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Situação legal</w:t>
            </w:r>
          </w:p>
        </w:tc>
        <w:tc>
          <w:tcPr>
            <w:tcW w:w="7016" w:type="dxa"/>
          </w:tcPr>
          <w:p w14:paraId="519F0EF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Título ou dispensa da ANM, licença ambiental, validade, proprietário, autorização</w:t>
            </w:r>
          </w:p>
        </w:tc>
      </w:tr>
      <w:tr w:rsidR="002759BE" w14:paraId="59E8FEF6" w14:textId="77777777">
        <w:tc>
          <w:tcPr>
            <w:tcW w:w="2339" w:type="dxa"/>
          </w:tcPr>
          <w:p w14:paraId="5CC985B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Caracterização</w:t>
            </w:r>
          </w:p>
        </w:tc>
        <w:tc>
          <w:tcPr>
            <w:tcW w:w="7016" w:type="dxa"/>
          </w:tcPr>
          <w:p w14:paraId="3A1BDC8E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Resultados da amostra de qualificação por propriedade, com identificador de amostra, método, edição e laudo</w:t>
            </w:r>
          </w:p>
        </w:tc>
      </w:tr>
      <w:tr w:rsidR="002759BE" w14:paraId="5A862F98" w14:textId="77777777">
        <w:tc>
          <w:tcPr>
            <w:tcW w:w="2339" w:type="dxa"/>
          </w:tcPr>
          <w:p w14:paraId="5A8A193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Estado</w:t>
            </w:r>
          </w:p>
        </w:tc>
        <w:tc>
          <w:tcPr>
            <w:tcW w:w="7016" w:type="dxa"/>
          </w:tcPr>
          <w:p w14:paraId="7EF6BB8E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Um dos cinco da seção 4, com data, responsável e fundamento</w:t>
            </w:r>
          </w:p>
        </w:tc>
      </w:tr>
      <w:tr w:rsidR="002759BE" w14:paraId="47C073F8" w14:textId="77777777">
        <w:tc>
          <w:tcPr>
            <w:tcW w:w="2339" w:type="dxa"/>
          </w:tcPr>
          <w:p w14:paraId="68DCC18B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Diligências</w:t>
            </w:r>
          </w:p>
        </w:tc>
        <w:tc>
          <w:tcPr>
            <w:tcW w:w="7016" w:type="dxa"/>
          </w:tcPr>
          <w:p w14:paraId="77F9DDD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Datas e relatórios de qualificação, acompanhamento e extraordinárias</w:t>
            </w:r>
          </w:p>
        </w:tc>
      </w:tr>
      <w:tr w:rsidR="002759BE" w14:paraId="0D491FF2" w14:textId="77777777">
        <w:tc>
          <w:tcPr>
            <w:tcW w:w="2339" w:type="dxa"/>
          </w:tcPr>
          <w:p w14:paraId="3D2DDC7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Contratos</w:t>
            </w:r>
          </w:p>
        </w:tc>
        <w:tc>
          <w:tcPr>
            <w:tcW w:w="7016" w:type="dxa"/>
          </w:tcPr>
          <w:p w14:paraId="236FA63C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EXECUTORA e fornecedor que usam a fonte; OS do laboratório</w:t>
            </w:r>
          </w:p>
        </w:tc>
      </w:tr>
      <w:tr w:rsidR="002759BE" w14:paraId="6CB3805F" w14:textId="77777777">
        <w:tc>
          <w:tcPr>
            <w:tcW w:w="2339" w:type="dxa"/>
          </w:tcPr>
          <w:p w14:paraId="495B39B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Histórico</w:t>
            </w:r>
          </w:p>
        </w:tc>
        <w:tc>
          <w:tcPr>
            <w:tcW w:w="7016" w:type="dxa"/>
          </w:tcPr>
          <w:p w14:paraId="4BC2012A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Reavaliações, suspensões, mudanças de frente, volume estimado e consumido</w:t>
            </w:r>
          </w:p>
        </w:tc>
      </w:tr>
    </w:tbl>
    <w:p w14:paraId="3D50ADBB" w14:textId="77777777" w:rsidR="002759BE" w:rsidRDefault="002759BE">
      <w:pPr>
        <w:spacing w:after="40"/>
      </w:pPr>
    </w:p>
    <w:p w14:paraId="5B25A417" w14:textId="77777777" w:rsidR="002759BE" w:rsidRDefault="00A9466A">
      <w:pPr>
        <w:spacing w:after="120"/>
      </w:pPr>
      <w:r>
        <w:t>Todo lote do Anexo 6 cita o código da fonte de cada material. Resultado de ensaio sem fonte identificada é registrado como inválido para aceitação até a correção.</w:t>
      </w:r>
    </w:p>
    <w:p w14:paraId="4E14F94C" w14:textId="77777777" w:rsidR="002759BE" w:rsidRDefault="00A9466A">
      <w:pPr>
        <w:pStyle w:val="Ttulo1"/>
        <w:spacing w:before="280" w:after="120"/>
      </w:pPr>
      <w:r>
        <w:rPr>
          <w:rFonts w:ascii="Calibri" w:eastAsia="Calibri" w:hAnsi="Calibri" w:cs="Calibri"/>
        </w:rPr>
        <w:lastRenderedPageBreak/>
        <w:t>7. Relatório de diligência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2425"/>
        <w:gridCol w:w="6929"/>
      </w:tblGrid>
      <w:tr w:rsidR="002759BE" w14:paraId="1DCFA082" w14:textId="77777777">
        <w:trPr>
          <w:tblHeader/>
        </w:trPr>
        <w:tc>
          <w:tcPr>
            <w:tcW w:w="2425" w:type="dxa"/>
            <w:shd w:val="clear" w:color="auto" w:fill="F3F2ED"/>
          </w:tcPr>
          <w:p w14:paraId="15ACA484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w="6929" w:type="dxa"/>
            <w:shd w:val="clear" w:color="auto" w:fill="F3F2ED"/>
          </w:tcPr>
          <w:p w14:paraId="1B300F82" w14:textId="77777777" w:rsidR="002759BE" w:rsidRDefault="00A9466A">
            <w:pPr>
              <w:spacing w:after="20" w:line="240" w:lineRule="auto"/>
            </w:pPr>
            <w:r>
              <w:rPr>
                <w:b/>
                <w:sz w:val="18"/>
              </w:rPr>
              <w:t>Conteúdo</w:t>
            </w:r>
          </w:p>
        </w:tc>
      </w:tr>
      <w:tr w:rsidR="002759BE" w14:paraId="242700E0" w14:textId="77777777">
        <w:tc>
          <w:tcPr>
            <w:tcW w:w="2425" w:type="dxa"/>
          </w:tcPr>
          <w:p w14:paraId="414D4A2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Identificação</w:t>
            </w:r>
          </w:p>
        </w:tc>
        <w:tc>
          <w:tcPr>
            <w:tcW w:w="6929" w:type="dxa"/>
          </w:tcPr>
          <w:p w14:paraId="4D21C8F3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Código da fonte; tipo; diligência (qualificação, acompanhamento, extraordinária); data; presentes</w:t>
            </w:r>
          </w:p>
        </w:tc>
      </w:tr>
      <w:tr w:rsidR="002759BE" w14:paraId="09B4105B" w14:textId="77777777">
        <w:tc>
          <w:tcPr>
            <w:tcW w:w="2425" w:type="dxa"/>
          </w:tcPr>
          <w:p w14:paraId="075948C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Condições encontradas</w:t>
            </w:r>
          </w:p>
        </w:tc>
        <w:tc>
          <w:tcPr>
            <w:tcW w:w="6929" w:type="dxa"/>
          </w:tcPr>
          <w:p w14:paraId="0748AA25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Frente de lavra ou horizonte; equipamentos e calibrações; estoques e segregação; laboratório da fonte; licenças</w:t>
            </w:r>
          </w:p>
        </w:tc>
      </w:tr>
      <w:tr w:rsidR="002759BE" w14:paraId="148261F6" w14:textId="77777777">
        <w:tc>
          <w:tcPr>
            <w:tcW w:w="2425" w:type="dxa"/>
          </w:tcPr>
          <w:p w14:paraId="5BE42E67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Amostragem</w:t>
            </w:r>
          </w:p>
        </w:tc>
        <w:tc>
          <w:tcPr>
            <w:tcW w:w="6929" w:type="dxa"/>
          </w:tcPr>
          <w:p w14:paraId="5BD4F9DC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Identificadores das amostras coletadas, método de coleta, lacre, finalidade</w:t>
            </w:r>
          </w:p>
        </w:tc>
      </w:tr>
      <w:tr w:rsidR="002759BE" w14:paraId="27EFAF04" w14:textId="77777777">
        <w:tc>
          <w:tcPr>
            <w:tcW w:w="2425" w:type="dxa"/>
          </w:tcPr>
          <w:p w14:paraId="68F4E990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Resultados</w:t>
            </w:r>
          </w:p>
        </w:tc>
        <w:tc>
          <w:tcPr>
            <w:tcW w:w="6929" w:type="dxa"/>
          </w:tcPr>
          <w:p w14:paraId="16B1394B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Laudos vinculados; comparação com a especificação do uso</w:t>
            </w:r>
          </w:p>
        </w:tc>
      </w:tr>
      <w:tr w:rsidR="002759BE" w14:paraId="33C5D95C" w14:textId="77777777">
        <w:tc>
          <w:tcPr>
            <w:tcW w:w="2425" w:type="dxa"/>
          </w:tcPr>
          <w:p w14:paraId="3119EBD8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Decisão</w:t>
            </w:r>
          </w:p>
        </w:tc>
        <w:tc>
          <w:tcPr>
            <w:tcW w:w="6929" w:type="dxa"/>
          </w:tcPr>
          <w:p w14:paraId="4A798A92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Estado atribuído à fonte, restrições, prazo de reavaliação, responsável</w:t>
            </w:r>
          </w:p>
        </w:tc>
      </w:tr>
      <w:tr w:rsidR="002759BE" w14:paraId="6C0A9A76" w14:textId="77777777">
        <w:tc>
          <w:tcPr>
            <w:tcW w:w="2425" w:type="dxa"/>
          </w:tcPr>
          <w:p w14:paraId="48305B7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Evidências</w:t>
            </w:r>
          </w:p>
        </w:tc>
        <w:tc>
          <w:tcPr>
            <w:tcW w:w="6929" w:type="dxa"/>
          </w:tcPr>
          <w:p w14:paraId="0232A5AD" w14:textId="77777777" w:rsidR="002759BE" w:rsidRDefault="00A9466A">
            <w:pPr>
              <w:spacing w:after="20" w:line="240" w:lineRule="auto"/>
            </w:pPr>
            <w:r>
              <w:rPr>
                <w:sz w:val="18"/>
              </w:rPr>
              <w:t>Fotografias com coordenadas e data; croqui ou planta</w:t>
            </w:r>
          </w:p>
        </w:tc>
      </w:tr>
    </w:tbl>
    <w:p w14:paraId="6DD49F0C" w14:textId="77777777" w:rsidR="002759BE" w:rsidRDefault="002759BE">
      <w:pPr>
        <w:spacing w:after="40"/>
      </w:pPr>
    </w:p>
    <w:sectPr w:rsidR="002759BE" w:rsidSect="00034616">
      <w:headerReference w:type="default" r:id="rId8"/>
      <w:footerReference w:type="default" r:id="rId9"/>
      <w:pgSz w:w="11906" w:h="16838"/>
      <w:pgMar w:top="2381" w:right="1134" w:bottom="1814" w:left="1417" w:header="794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EBB47" w14:textId="77777777" w:rsidR="00A9466A" w:rsidRDefault="00A9466A">
      <w:pPr>
        <w:spacing w:after="0" w:line="240" w:lineRule="auto"/>
      </w:pPr>
      <w:r>
        <w:separator/>
      </w:r>
    </w:p>
  </w:endnote>
  <w:endnote w:type="continuationSeparator" w:id="0">
    <w:p w14:paraId="1A3CF52C" w14:textId="77777777" w:rsidR="00A9466A" w:rsidRDefault="00A94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7937"/>
      <w:gridCol w:w="1417"/>
    </w:tblGrid>
    <w:tr w:rsidR="002759BE" w14:paraId="1D7F02EE" w14:textId="77777777">
      <w:tc>
        <w:tcPr>
          <w:tcW w:w="7937" w:type="dxa"/>
          <w:tcBorders>
            <w:bottom w:val="single" w:sz="12" w:space="0" w:color="F5BA00"/>
          </w:tcBorders>
        </w:tcPr>
        <w:p w14:paraId="6A0B8C01" w14:textId="77777777" w:rsidR="002759BE" w:rsidRDefault="002759BE">
          <w:pPr>
            <w:spacing w:after="0" w:line="40" w:lineRule="exact"/>
          </w:pPr>
        </w:p>
      </w:tc>
      <w:tc>
        <w:tcPr>
          <w:tcW w:w="1417" w:type="dxa"/>
          <w:tcBorders>
            <w:bottom w:val="single" w:sz="12" w:space="0" w:color="064B63"/>
          </w:tcBorders>
        </w:tcPr>
        <w:p w14:paraId="5806F201" w14:textId="77777777" w:rsidR="002759BE" w:rsidRDefault="002759BE">
          <w:pPr>
            <w:spacing w:after="0" w:line="40" w:lineRule="exact"/>
          </w:pPr>
        </w:p>
      </w:tc>
    </w:tr>
  </w:tbl>
  <w:p w14:paraId="2CA033E3" w14:textId="77777777" w:rsidR="002759BE" w:rsidRDefault="00A9466A">
    <w:pPr>
      <w:spacing w:after="0"/>
    </w:pPr>
    <w:r>
      <w:rPr>
        <w:color w:val="617177"/>
        <w:sz w:val="15"/>
      </w:rPr>
      <w:t>Concessionária 116 Sertões S.A. · CNPJ 68.576.407/0001-03 · Concessão Rota dos Sertões · BR-116/PE/BA e BR-324/BA</w:t>
    </w:r>
  </w:p>
  <w:p w14:paraId="18F353A0" w14:textId="77777777" w:rsidR="002759BE" w:rsidRDefault="00A9466A">
    <w:pPr>
      <w:spacing w:after="0"/>
    </w:pPr>
    <w:r>
      <w:rPr>
        <w:color w:val="617177"/>
        <w:sz w:val="15"/>
      </w:rPr>
      <w:t>Alameda Salvador, 1057 · Torre América, sala 1115 · Salvador/BA</w:t>
    </w:r>
  </w:p>
  <w:p w14:paraId="49DBD187" w14:textId="77777777" w:rsidR="002759BE" w:rsidRDefault="00A9466A">
    <w:pPr>
      <w:spacing w:after="0"/>
      <w:jc w:val="right"/>
    </w:pPr>
    <w:r>
      <w:rPr>
        <w:color w:val="617177"/>
        <w:sz w:val="15"/>
      </w:rPr>
      <w:fldChar w:fldCharType="begin"/>
    </w:r>
    <w:r>
      <w:rPr>
        <w:color w:val="617177"/>
        <w:sz w:val="15"/>
      </w:rPr>
      <w:instrText>PAGE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  <w:r>
      <w:rPr>
        <w:color w:val="617177"/>
        <w:sz w:val="15"/>
      </w:rPr>
      <w:t xml:space="preserve"> de </w:t>
    </w:r>
    <w:r>
      <w:rPr>
        <w:color w:val="617177"/>
        <w:sz w:val="15"/>
      </w:rPr>
      <w:fldChar w:fldCharType="begin"/>
    </w:r>
    <w:r>
      <w:rPr>
        <w:color w:val="617177"/>
        <w:sz w:val="15"/>
      </w:rPr>
      <w:instrText>NUMPAGES</w:instrText>
    </w:r>
    <w:r>
      <w:rPr>
        <w:color w:val="617177"/>
        <w:sz w:val="15"/>
      </w:rPr>
      <w:fldChar w:fldCharType="separate"/>
    </w:r>
    <w:r>
      <w:rPr>
        <w:color w:val="617177"/>
        <w:sz w:val="15"/>
      </w:rPr>
      <w:t>1</w:t>
    </w:r>
    <w:r>
      <w:rPr>
        <w:color w:val="617177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10C6E0" w14:textId="77777777" w:rsidR="00A9466A" w:rsidRDefault="00A9466A">
      <w:pPr>
        <w:spacing w:after="0" w:line="240" w:lineRule="auto"/>
      </w:pPr>
      <w:r>
        <w:separator/>
      </w:r>
    </w:p>
  </w:footnote>
  <w:footnote w:type="continuationSeparator" w:id="0">
    <w:p w14:paraId="4981C5F6" w14:textId="77777777" w:rsidR="00A9466A" w:rsidRDefault="00A94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B7696" w14:textId="77777777" w:rsidR="002759BE" w:rsidRDefault="00A9466A">
    <w:r>
      <w:rPr>
        <w:noProof/>
      </w:rPr>
      <w:drawing>
        <wp:inline distT="0" distB="0" distL="0" distR="0" wp14:anchorId="7145DA4B" wp14:editId="1FD4584C">
          <wp:extent cx="1872000" cy="5019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orizontal_c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2000" cy="5019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705253">
    <w:abstractNumId w:val="8"/>
  </w:num>
  <w:num w:numId="2" w16cid:durableId="866986587">
    <w:abstractNumId w:val="6"/>
  </w:num>
  <w:num w:numId="3" w16cid:durableId="1139960806">
    <w:abstractNumId w:val="5"/>
  </w:num>
  <w:num w:numId="4" w16cid:durableId="790320670">
    <w:abstractNumId w:val="4"/>
  </w:num>
  <w:num w:numId="5" w16cid:durableId="1412510795">
    <w:abstractNumId w:val="7"/>
  </w:num>
  <w:num w:numId="6" w16cid:durableId="928150726">
    <w:abstractNumId w:val="3"/>
  </w:num>
  <w:num w:numId="7" w16cid:durableId="120271526">
    <w:abstractNumId w:val="2"/>
  </w:num>
  <w:num w:numId="8" w16cid:durableId="1485900539">
    <w:abstractNumId w:val="1"/>
  </w:num>
  <w:num w:numId="9" w16cid:durableId="203831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42AD"/>
    <w:rsid w:val="0015074B"/>
    <w:rsid w:val="002759BE"/>
    <w:rsid w:val="0029639D"/>
    <w:rsid w:val="00326F90"/>
    <w:rsid w:val="00A9466A"/>
    <w:rsid w:val="00AA1D8D"/>
    <w:rsid w:val="00B47730"/>
    <w:rsid w:val="00B714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EF3C0D"/>
  <w14:defaultImageDpi w14:val="300"/>
  <w15:docId w15:val="{E32DA504-5889-4D6E-8DA8-8B146A78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Calibri" w:eastAsia="Calibri" w:hAnsi="Calibri" w:cs="Calibri"/>
      <w:color w:val="064B63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1455</Words>
  <Characters>8436</Characters>
  <Application>Microsoft Office Word</Application>
  <DocSecurity>0</DocSecurity>
  <Lines>298</Lines>
  <Paragraphs>131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Qualificação e cadastro de fontes de materiais R00</dc:title>
  <dc:subject>Política de Controle Tecnológico de Obras</dc:subject>
  <dc:creator>Concessionária 116 Sertões S.A.</dc:creator>
  <cp:keywords>POL-CT-116-A7; R00; PR; controle tecnológico; Rota dos Sertões</cp:keywords>
  <dc:description>generated by python-docx</dc:description>
  <cp:lastModifiedBy>Danillo Oliveira</cp:lastModifiedBy>
  <cp:revision>2</cp:revision>
  <dcterms:created xsi:type="dcterms:W3CDTF">2013-12-23T23:15:00Z</dcterms:created>
  <dcterms:modified xsi:type="dcterms:W3CDTF">2026-10-21T17:14:00Z</dcterms:modified>
  <cp:category/>
  <cp:version>R00</cp:version>
</cp:coreProperties>
</file>