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A1F9EE" w14:textId="77777777" w:rsidR="00D67DE2" w:rsidRDefault="0075301B">
      <w:r>
        <w:rPr>
          <w:b/>
          <w:color w:val="617177"/>
        </w:rPr>
        <w:t>ANEXO 9 DA POLÍTICA DE CONTROLE TECNOLÓGICO DE OBRAS</w:t>
      </w:r>
    </w:p>
    <w:p w14:paraId="11FE0DC2" w14:textId="77777777" w:rsidR="00D67DE2" w:rsidRDefault="0075301B">
      <w:pPr>
        <w:spacing w:before="80"/>
      </w:pPr>
      <w:r>
        <w:rPr>
          <w:b/>
          <w:sz w:val="36"/>
        </w:rPr>
        <w:t>Qualificação de laboratórios e metrologia</w:t>
      </w:r>
    </w:p>
    <w:p w14:paraId="5A628D56" w14:textId="77777777" w:rsidR="00D67DE2" w:rsidRDefault="0075301B">
      <w:pPr>
        <w:spacing w:before="160"/>
      </w:pPr>
      <w:r>
        <w:rPr>
          <w:color w:val="617177"/>
          <w:sz w:val="21"/>
        </w:rPr>
        <w:t>Código POL-CT-116-A9 · Revisão R00 · 21/10/2026 · Status AP</w:t>
      </w:r>
    </w:p>
    <w:tbl>
      <w:tblPr>
        <w:tblStyle w:val="Tabelacomgrade"/>
        <w:tblW w:w="0" w:type="auto"/>
        <w:tblLayout w:type="fixed"/>
        <w:tblLook w:val="04A0" w:firstRow="1" w:lastRow="0" w:firstColumn="1" w:lastColumn="0" w:noHBand="0" w:noVBand="1"/>
      </w:tblPr>
      <w:tblGrid>
        <w:gridCol w:w="1559"/>
        <w:gridCol w:w="1559"/>
        <w:gridCol w:w="1559"/>
        <w:gridCol w:w="4677"/>
      </w:tblGrid>
      <w:tr w:rsidR="00D67DE2" w14:paraId="6A50DAEE" w14:textId="77777777">
        <w:trPr>
          <w:tblHeader/>
        </w:trPr>
        <w:tc>
          <w:tcPr>
            <w:tcW w:w="1559" w:type="dxa"/>
            <w:shd w:val="clear" w:color="auto" w:fill="F3F2ED"/>
          </w:tcPr>
          <w:p w14:paraId="11D50F7C" w14:textId="77777777" w:rsidR="00D67DE2" w:rsidRDefault="0075301B">
            <w:pPr>
              <w:spacing w:after="20" w:line="240" w:lineRule="auto"/>
            </w:pPr>
            <w:r>
              <w:rPr>
                <w:b/>
                <w:sz w:val="19"/>
              </w:rPr>
              <w:t>Rev.</w:t>
            </w:r>
          </w:p>
        </w:tc>
        <w:tc>
          <w:tcPr>
            <w:tcW w:w="1559" w:type="dxa"/>
            <w:shd w:val="clear" w:color="auto" w:fill="F3F2ED"/>
          </w:tcPr>
          <w:p w14:paraId="35BFC976" w14:textId="77777777" w:rsidR="00D67DE2" w:rsidRDefault="0075301B">
            <w:pPr>
              <w:spacing w:after="20" w:line="240" w:lineRule="auto"/>
            </w:pPr>
            <w:r>
              <w:rPr>
                <w:b/>
                <w:sz w:val="19"/>
              </w:rPr>
              <w:t>Data</w:t>
            </w:r>
          </w:p>
        </w:tc>
        <w:tc>
          <w:tcPr>
            <w:tcW w:w="1559" w:type="dxa"/>
            <w:shd w:val="clear" w:color="auto" w:fill="F3F2ED"/>
          </w:tcPr>
          <w:p w14:paraId="19A07D4D" w14:textId="77777777" w:rsidR="00D67DE2" w:rsidRDefault="0075301B">
            <w:pPr>
              <w:spacing w:after="20" w:line="240" w:lineRule="auto"/>
            </w:pPr>
            <w:r>
              <w:rPr>
                <w:b/>
                <w:sz w:val="19"/>
              </w:rPr>
              <w:t>Status</w:t>
            </w:r>
          </w:p>
        </w:tc>
        <w:tc>
          <w:tcPr>
            <w:tcW w:w="4677" w:type="dxa"/>
            <w:shd w:val="clear" w:color="auto" w:fill="F3F2ED"/>
          </w:tcPr>
          <w:p w14:paraId="3CF3A6C0" w14:textId="77777777" w:rsidR="00D67DE2" w:rsidRDefault="0075301B">
            <w:pPr>
              <w:spacing w:after="20" w:line="240" w:lineRule="auto"/>
            </w:pPr>
            <w:r>
              <w:rPr>
                <w:b/>
                <w:sz w:val="19"/>
              </w:rPr>
              <w:t>Descrição</w:t>
            </w:r>
          </w:p>
        </w:tc>
      </w:tr>
      <w:tr w:rsidR="00D67DE2" w14:paraId="20EDD119" w14:textId="77777777">
        <w:tc>
          <w:tcPr>
            <w:tcW w:w="1559" w:type="dxa"/>
          </w:tcPr>
          <w:p w14:paraId="3AEBCBBB" w14:textId="77777777" w:rsidR="00D67DE2" w:rsidRDefault="0075301B">
            <w:pPr>
              <w:spacing w:after="20" w:line="240" w:lineRule="auto"/>
            </w:pPr>
            <w:r>
              <w:rPr>
                <w:sz w:val="19"/>
              </w:rPr>
              <w:t>R00</w:t>
            </w:r>
          </w:p>
        </w:tc>
        <w:tc>
          <w:tcPr>
            <w:tcW w:w="1559" w:type="dxa"/>
          </w:tcPr>
          <w:p w14:paraId="02F394A9" w14:textId="77777777" w:rsidR="00D67DE2" w:rsidRDefault="0075301B">
            <w:pPr>
              <w:spacing w:after="20" w:line="240" w:lineRule="auto"/>
            </w:pPr>
            <w:r>
              <w:rPr>
                <w:sz w:val="19"/>
              </w:rPr>
              <w:t>21/10/2026</w:t>
            </w:r>
          </w:p>
        </w:tc>
        <w:tc>
          <w:tcPr>
            <w:tcW w:w="1559" w:type="dxa"/>
          </w:tcPr>
          <w:p w14:paraId="559AD50F" w14:textId="77777777" w:rsidR="00D67DE2" w:rsidRDefault="0075301B">
            <w:pPr>
              <w:spacing w:after="20" w:line="240" w:lineRule="auto"/>
            </w:pPr>
            <w:r>
              <w:rPr>
                <w:sz w:val="19"/>
              </w:rPr>
              <w:t>AP</w:t>
            </w:r>
          </w:p>
        </w:tc>
        <w:tc>
          <w:tcPr>
            <w:tcW w:w="4677" w:type="dxa"/>
          </w:tcPr>
          <w:p w14:paraId="2FEC8D19" w14:textId="77777777" w:rsidR="00D67DE2" w:rsidRDefault="0075301B">
            <w:pPr>
              <w:spacing w:after="20" w:line="240" w:lineRule="auto"/>
            </w:pPr>
            <w:r>
              <w:rPr>
                <w:sz w:val="19"/>
              </w:rPr>
              <w:t>Emissão inicial, junto com a Política de Controle Tecnológico R03 (decisões D3 e D4 de 21/10/2026)</w:t>
            </w:r>
          </w:p>
        </w:tc>
      </w:tr>
    </w:tbl>
    <w:p w14:paraId="5E7B7DD4" w14:textId="77777777" w:rsidR="00D67DE2" w:rsidRDefault="00D67DE2">
      <w:pPr>
        <w:spacing w:after="40"/>
      </w:pPr>
    </w:p>
    <w:tbl>
      <w:tblPr>
        <w:tblStyle w:val="Tabelacomgrade"/>
        <w:tblW w:w="0" w:type="auto"/>
        <w:tblLayout w:type="fixed"/>
        <w:tblLook w:val="04A0" w:firstRow="1" w:lastRow="0" w:firstColumn="1" w:lastColumn="0" w:noHBand="0" w:noVBand="1"/>
      </w:tblPr>
      <w:tblGrid>
        <w:gridCol w:w="4677"/>
        <w:gridCol w:w="4677"/>
      </w:tblGrid>
      <w:tr w:rsidR="00D67DE2" w14:paraId="3C896350" w14:textId="77777777">
        <w:trPr>
          <w:tblHeader/>
        </w:trPr>
        <w:tc>
          <w:tcPr>
            <w:tcW w:w="4677" w:type="dxa"/>
            <w:shd w:val="clear" w:color="auto" w:fill="F3F2ED"/>
          </w:tcPr>
          <w:p w14:paraId="42970E60" w14:textId="77777777" w:rsidR="00D67DE2" w:rsidRDefault="0075301B">
            <w:pPr>
              <w:spacing w:after="20" w:line="240" w:lineRule="auto"/>
            </w:pPr>
            <w:r>
              <w:rPr>
                <w:b/>
                <w:sz w:val="19"/>
              </w:rPr>
              <w:t>Elaboração</w:t>
            </w:r>
          </w:p>
        </w:tc>
        <w:tc>
          <w:tcPr>
            <w:tcW w:w="4677" w:type="dxa"/>
            <w:shd w:val="clear" w:color="auto" w:fill="F3F2ED"/>
          </w:tcPr>
          <w:p w14:paraId="380F42FB" w14:textId="77777777" w:rsidR="00D67DE2" w:rsidRDefault="0075301B">
            <w:pPr>
              <w:spacing w:after="20" w:line="240" w:lineRule="auto"/>
            </w:pPr>
            <w:r>
              <w:rPr>
                <w:b/>
                <w:sz w:val="19"/>
              </w:rPr>
              <w:t>Aprovação</w:t>
            </w:r>
          </w:p>
        </w:tc>
      </w:tr>
      <w:tr w:rsidR="00D67DE2" w14:paraId="798DCBC2" w14:textId="77777777">
        <w:tc>
          <w:tcPr>
            <w:tcW w:w="4677" w:type="dxa"/>
          </w:tcPr>
          <w:p w14:paraId="7DB3BC84" w14:textId="77777777" w:rsidR="00D67DE2" w:rsidRDefault="0075301B">
            <w:pPr>
              <w:spacing w:after="20" w:line="240" w:lineRule="auto"/>
            </w:pPr>
            <w:r>
              <w:rPr>
                <w:sz w:val="19"/>
              </w:rPr>
              <w:t>Coordenação de Pavimento e Monitoração</w:t>
            </w:r>
            <w:r>
              <w:br/>
            </w:r>
            <w:r>
              <w:rPr>
                <w:sz w:val="19"/>
              </w:rPr>
              <w:t>Assinatura/data: aprovado em 21/10/2026</w:t>
            </w:r>
          </w:p>
        </w:tc>
        <w:tc>
          <w:tcPr>
            <w:tcW w:w="4677" w:type="dxa"/>
          </w:tcPr>
          <w:p w14:paraId="73540697" w14:textId="77777777" w:rsidR="00D67DE2" w:rsidRDefault="0075301B">
            <w:pPr>
              <w:spacing w:after="20" w:line="240" w:lineRule="auto"/>
            </w:pPr>
            <w:r>
              <w:rPr>
                <w:sz w:val="19"/>
              </w:rPr>
              <w:t>Danillo Oliveira, Gerente de Engenharia e Qualidade</w:t>
            </w:r>
            <w:r>
              <w:br/>
            </w:r>
            <w:r>
              <w:rPr>
                <w:sz w:val="19"/>
              </w:rPr>
              <w:t>Assinatura/data: aprovado em 21/10/2026</w:t>
            </w:r>
          </w:p>
        </w:tc>
      </w:tr>
    </w:tbl>
    <w:p w14:paraId="4FCEC9E3" w14:textId="77777777" w:rsidR="00D67DE2" w:rsidRDefault="00D67DE2">
      <w:pPr>
        <w:spacing w:after="40"/>
      </w:pPr>
    </w:p>
    <w:p w14:paraId="4B23DF68" w14:textId="77777777" w:rsidR="00D67DE2" w:rsidRDefault="00D67DE2"/>
    <w:p w14:paraId="3A3E7FBC" w14:textId="77777777" w:rsidR="00D67DE2" w:rsidRDefault="0075301B">
      <w:pPr>
        <w:pStyle w:val="Ttulo1"/>
        <w:spacing w:before="280" w:after="120"/>
      </w:pPr>
      <w:r>
        <w:rPr>
          <w:rFonts w:ascii="Calibri" w:eastAsia="Calibri" w:hAnsi="Calibri" w:cs="Calibri"/>
        </w:rPr>
        <w:t>1. Objeto</w:t>
      </w:r>
    </w:p>
    <w:p w14:paraId="0AB718CE" w14:textId="77777777" w:rsidR="00D67DE2" w:rsidRDefault="0075301B">
      <w:pPr>
        <w:spacing w:after="120"/>
      </w:pPr>
      <w:r>
        <w:t>Este anexo detalha a seção 5 (laboratórios), a seção 15 (indicador de calibração) e a seção 16 (integridade e auditoria) da Política de Controle Tecnológico de Obras. Vale para o laboratório contratado pela Concessionária, para o laboratório da EXECUTORA (próprio ou subcontratado), para os laboratórios de usina e de central de concreto e para qualquer laboratório indicado para contraprova.</w:t>
      </w:r>
    </w:p>
    <w:p w14:paraId="2D3F5195" w14:textId="77777777" w:rsidR="00D67DE2" w:rsidRDefault="0075301B">
      <w:pPr>
        <w:pStyle w:val="Ttulo1"/>
        <w:spacing w:before="280" w:after="120"/>
      </w:pPr>
      <w:r>
        <w:rPr>
          <w:rFonts w:ascii="Calibri" w:eastAsia="Calibri" w:hAnsi="Calibri" w:cs="Calibri"/>
        </w:rPr>
        <w:t>2. Requisitos mínimos de qualquer laboratório</w:t>
      </w:r>
    </w:p>
    <w:tbl>
      <w:tblPr>
        <w:tblStyle w:val="Tabelacomgrade"/>
        <w:tblW w:w="0" w:type="auto"/>
        <w:tblLayout w:type="fixed"/>
        <w:tblLook w:val="04A0" w:firstRow="1" w:lastRow="0" w:firstColumn="1" w:lastColumn="0" w:noHBand="0" w:noVBand="1"/>
      </w:tblPr>
      <w:tblGrid>
        <w:gridCol w:w="1745"/>
        <w:gridCol w:w="4189"/>
        <w:gridCol w:w="3421"/>
      </w:tblGrid>
      <w:tr w:rsidR="00D67DE2" w14:paraId="7CDD848A" w14:textId="77777777">
        <w:trPr>
          <w:tblHeader/>
        </w:trPr>
        <w:tc>
          <w:tcPr>
            <w:tcW w:w="1745" w:type="dxa"/>
            <w:shd w:val="clear" w:color="auto" w:fill="F3F2ED"/>
          </w:tcPr>
          <w:p w14:paraId="71298430" w14:textId="77777777" w:rsidR="00D67DE2" w:rsidRDefault="0075301B">
            <w:pPr>
              <w:spacing w:after="20" w:line="240" w:lineRule="auto"/>
            </w:pPr>
            <w:r>
              <w:rPr>
                <w:b/>
                <w:sz w:val="18"/>
              </w:rPr>
              <w:t>Requisito</w:t>
            </w:r>
          </w:p>
        </w:tc>
        <w:tc>
          <w:tcPr>
            <w:tcW w:w="4189" w:type="dxa"/>
            <w:shd w:val="clear" w:color="auto" w:fill="F3F2ED"/>
          </w:tcPr>
          <w:p w14:paraId="60C11514" w14:textId="77777777" w:rsidR="00D67DE2" w:rsidRDefault="0075301B">
            <w:pPr>
              <w:spacing w:after="20" w:line="240" w:lineRule="auto"/>
            </w:pPr>
            <w:r>
              <w:rPr>
                <w:b/>
                <w:sz w:val="18"/>
              </w:rPr>
              <w:t>Conteúdo</w:t>
            </w:r>
          </w:p>
        </w:tc>
        <w:tc>
          <w:tcPr>
            <w:tcW w:w="3421" w:type="dxa"/>
            <w:shd w:val="clear" w:color="auto" w:fill="F3F2ED"/>
          </w:tcPr>
          <w:p w14:paraId="6A5292FB" w14:textId="77777777" w:rsidR="00D67DE2" w:rsidRDefault="0075301B">
            <w:pPr>
              <w:spacing w:after="20" w:line="240" w:lineRule="auto"/>
            </w:pPr>
            <w:r>
              <w:rPr>
                <w:b/>
                <w:sz w:val="18"/>
              </w:rPr>
              <w:t>Evidência</w:t>
            </w:r>
          </w:p>
        </w:tc>
      </w:tr>
      <w:tr w:rsidR="00D67DE2" w14:paraId="09A202D5" w14:textId="77777777">
        <w:tc>
          <w:tcPr>
            <w:tcW w:w="1745" w:type="dxa"/>
          </w:tcPr>
          <w:p w14:paraId="5932AEC6" w14:textId="77777777" w:rsidR="00D67DE2" w:rsidRDefault="0075301B">
            <w:pPr>
              <w:spacing w:after="20" w:line="240" w:lineRule="auto"/>
            </w:pPr>
            <w:r>
              <w:rPr>
                <w:sz w:val="18"/>
              </w:rPr>
              <w:t>Responsável técnico</w:t>
            </w:r>
          </w:p>
        </w:tc>
        <w:tc>
          <w:tcPr>
            <w:tcW w:w="4189" w:type="dxa"/>
          </w:tcPr>
          <w:p w14:paraId="0867B986" w14:textId="77777777" w:rsidR="00D67DE2" w:rsidRDefault="0075301B">
            <w:pPr>
              <w:spacing w:after="20" w:line="240" w:lineRule="auto"/>
            </w:pPr>
            <w:r>
              <w:rPr>
                <w:sz w:val="18"/>
              </w:rPr>
              <w:t>Engenheiro ou tecnólogo com registro profissional e ART pelo laboratório; presença nas diligências</w:t>
            </w:r>
          </w:p>
        </w:tc>
        <w:tc>
          <w:tcPr>
            <w:tcW w:w="3421" w:type="dxa"/>
          </w:tcPr>
          <w:p w14:paraId="0E450A1F" w14:textId="77777777" w:rsidR="00D67DE2" w:rsidRDefault="0075301B">
            <w:pPr>
              <w:spacing w:after="20" w:line="240" w:lineRule="auto"/>
            </w:pPr>
            <w:r>
              <w:rPr>
                <w:sz w:val="18"/>
              </w:rPr>
              <w:t>ART e registro</w:t>
            </w:r>
          </w:p>
        </w:tc>
      </w:tr>
      <w:tr w:rsidR="00D67DE2" w14:paraId="636EE9D9" w14:textId="77777777">
        <w:tc>
          <w:tcPr>
            <w:tcW w:w="1745" w:type="dxa"/>
          </w:tcPr>
          <w:p w14:paraId="2753685E" w14:textId="77777777" w:rsidR="00D67DE2" w:rsidRDefault="0075301B">
            <w:pPr>
              <w:spacing w:after="20" w:line="240" w:lineRule="auto"/>
            </w:pPr>
            <w:r>
              <w:rPr>
                <w:sz w:val="18"/>
              </w:rPr>
              <w:t>Pessoal</w:t>
            </w:r>
          </w:p>
        </w:tc>
        <w:tc>
          <w:tcPr>
            <w:tcW w:w="4189" w:type="dxa"/>
          </w:tcPr>
          <w:p w14:paraId="45D7A076" w14:textId="77777777" w:rsidR="00D67DE2" w:rsidRDefault="0075301B">
            <w:pPr>
              <w:spacing w:after="20" w:line="240" w:lineRule="auto"/>
            </w:pPr>
            <w:r>
              <w:rPr>
                <w:sz w:val="18"/>
              </w:rPr>
              <w:t>Laboratoristas com treinamento registrado por método; lista de quem executa cada ensaio</w:t>
            </w:r>
          </w:p>
        </w:tc>
        <w:tc>
          <w:tcPr>
            <w:tcW w:w="3421" w:type="dxa"/>
          </w:tcPr>
          <w:p w14:paraId="7C339F30" w14:textId="77777777" w:rsidR="00D67DE2" w:rsidRDefault="0075301B">
            <w:pPr>
              <w:spacing w:after="20" w:line="240" w:lineRule="auto"/>
            </w:pPr>
            <w:r>
              <w:rPr>
                <w:sz w:val="18"/>
              </w:rPr>
              <w:t>Registros de treinamento; matriz pessoal × método</w:t>
            </w:r>
          </w:p>
        </w:tc>
      </w:tr>
      <w:tr w:rsidR="00D67DE2" w14:paraId="01AB2FA9" w14:textId="77777777">
        <w:tc>
          <w:tcPr>
            <w:tcW w:w="1745" w:type="dxa"/>
          </w:tcPr>
          <w:p w14:paraId="310E1BF3" w14:textId="77777777" w:rsidR="00D67DE2" w:rsidRDefault="0075301B">
            <w:pPr>
              <w:spacing w:after="20" w:line="240" w:lineRule="auto"/>
            </w:pPr>
            <w:r>
              <w:rPr>
                <w:sz w:val="18"/>
              </w:rPr>
              <w:t>Procedimentos</w:t>
            </w:r>
          </w:p>
        </w:tc>
        <w:tc>
          <w:tcPr>
            <w:tcW w:w="4189" w:type="dxa"/>
          </w:tcPr>
          <w:p w14:paraId="05530542" w14:textId="77777777" w:rsidR="00D67DE2" w:rsidRDefault="0075301B">
            <w:pPr>
              <w:spacing w:after="20" w:line="240" w:lineRule="auto"/>
            </w:pPr>
            <w:r>
              <w:rPr>
                <w:sz w:val="18"/>
              </w:rPr>
              <w:t>Procedimento escrito por método, com a norma e a edição, aprovado pelo responsável técnico; controle de versão</w:t>
            </w:r>
          </w:p>
        </w:tc>
        <w:tc>
          <w:tcPr>
            <w:tcW w:w="3421" w:type="dxa"/>
          </w:tcPr>
          <w:p w14:paraId="5CFD6F7E" w14:textId="77777777" w:rsidR="00D67DE2" w:rsidRDefault="0075301B">
            <w:pPr>
              <w:spacing w:after="20" w:line="240" w:lineRule="auto"/>
            </w:pPr>
            <w:r>
              <w:rPr>
                <w:sz w:val="18"/>
              </w:rPr>
              <w:t>Lista mestra de procedimentos</w:t>
            </w:r>
          </w:p>
        </w:tc>
      </w:tr>
      <w:tr w:rsidR="00D67DE2" w14:paraId="1881E1E6" w14:textId="77777777">
        <w:tc>
          <w:tcPr>
            <w:tcW w:w="1745" w:type="dxa"/>
          </w:tcPr>
          <w:p w14:paraId="1F5015AD" w14:textId="77777777" w:rsidR="00D67DE2" w:rsidRDefault="0075301B">
            <w:pPr>
              <w:spacing w:after="20" w:line="240" w:lineRule="auto"/>
            </w:pPr>
            <w:r>
              <w:rPr>
                <w:sz w:val="18"/>
              </w:rPr>
              <w:t>Equipamentos</w:t>
            </w:r>
          </w:p>
        </w:tc>
        <w:tc>
          <w:tcPr>
            <w:tcW w:w="4189" w:type="dxa"/>
          </w:tcPr>
          <w:p w14:paraId="5E5C58ED" w14:textId="77777777" w:rsidR="00D67DE2" w:rsidRDefault="0075301B">
            <w:pPr>
              <w:spacing w:after="20" w:line="240" w:lineRule="auto"/>
            </w:pPr>
            <w:r>
              <w:rPr>
                <w:sz w:val="18"/>
              </w:rPr>
              <w:t>Lista de equipamentos com identificação única, faixa, resolução, situação de calibração e local</w:t>
            </w:r>
          </w:p>
        </w:tc>
        <w:tc>
          <w:tcPr>
            <w:tcW w:w="3421" w:type="dxa"/>
          </w:tcPr>
          <w:p w14:paraId="17CC6D18" w14:textId="77777777" w:rsidR="00D67DE2" w:rsidRDefault="0075301B">
            <w:pPr>
              <w:spacing w:after="20" w:line="240" w:lineRule="auto"/>
            </w:pPr>
            <w:r>
              <w:rPr>
                <w:sz w:val="18"/>
              </w:rPr>
              <w:t>Cadastro de equipamentos</w:t>
            </w:r>
          </w:p>
        </w:tc>
      </w:tr>
      <w:tr w:rsidR="00D67DE2" w14:paraId="31328649" w14:textId="77777777">
        <w:tc>
          <w:tcPr>
            <w:tcW w:w="1745" w:type="dxa"/>
          </w:tcPr>
          <w:p w14:paraId="49C40687" w14:textId="77777777" w:rsidR="00D67DE2" w:rsidRDefault="0075301B">
            <w:pPr>
              <w:spacing w:after="20" w:line="240" w:lineRule="auto"/>
            </w:pPr>
            <w:r>
              <w:rPr>
                <w:sz w:val="18"/>
              </w:rPr>
              <w:t>Calibração</w:t>
            </w:r>
          </w:p>
        </w:tc>
        <w:tc>
          <w:tcPr>
            <w:tcW w:w="4189" w:type="dxa"/>
          </w:tcPr>
          <w:p w14:paraId="003B37F2" w14:textId="77777777" w:rsidR="00D67DE2" w:rsidRDefault="0075301B">
            <w:pPr>
              <w:spacing w:after="20" w:line="240" w:lineRule="auto"/>
            </w:pPr>
            <w:r>
              <w:rPr>
                <w:sz w:val="18"/>
              </w:rPr>
              <w:t>Certificado rastreável à Rede Brasileira de Calibração ou a laboratório acreditado, dentro do prazo da seção 4 (6 meses para prensas e balanças, 12 meses para os demais); equipamento sem certificado válido não produz resultado de aceitação</w:t>
            </w:r>
          </w:p>
        </w:tc>
        <w:tc>
          <w:tcPr>
            <w:tcW w:w="3421" w:type="dxa"/>
          </w:tcPr>
          <w:p w14:paraId="7ADDFCA7" w14:textId="77777777" w:rsidR="00D67DE2" w:rsidRDefault="0075301B">
            <w:pPr>
              <w:spacing w:after="20" w:line="240" w:lineRule="auto"/>
            </w:pPr>
            <w:r>
              <w:rPr>
                <w:sz w:val="18"/>
              </w:rPr>
              <w:t>Certificados no CDE</w:t>
            </w:r>
          </w:p>
        </w:tc>
      </w:tr>
      <w:tr w:rsidR="00D67DE2" w14:paraId="7A16D0A3" w14:textId="77777777">
        <w:tc>
          <w:tcPr>
            <w:tcW w:w="1745" w:type="dxa"/>
          </w:tcPr>
          <w:p w14:paraId="7A566ADE" w14:textId="77777777" w:rsidR="00D67DE2" w:rsidRDefault="0075301B">
            <w:pPr>
              <w:spacing w:after="20" w:line="240" w:lineRule="auto"/>
            </w:pPr>
            <w:r>
              <w:rPr>
                <w:sz w:val="18"/>
              </w:rPr>
              <w:t>Verificação intermediária</w:t>
            </w:r>
          </w:p>
        </w:tc>
        <w:tc>
          <w:tcPr>
            <w:tcW w:w="4189" w:type="dxa"/>
          </w:tcPr>
          <w:p w14:paraId="604ECA5F" w14:textId="77777777" w:rsidR="00D67DE2" w:rsidRDefault="0075301B">
            <w:pPr>
              <w:spacing w:after="20" w:line="240" w:lineRule="auto"/>
            </w:pPr>
            <w:r>
              <w:rPr>
                <w:sz w:val="18"/>
              </w:rPr>
              <w:t>Verificação registrada entre calibrações (padrões, massas, termômetro de referência, peneiras) conforme a seção 4</w:t>
            </w:r>
          </w:p>
        </w:tc>
        <w:tc>
          <w:tcPr>
            <w:tcW w:w="3421" w:type="dxa"/>
          </w:tcPr>
          <w:p w14:paraId="49B684F0" w14:textId="77777777" w:rsidR="00D67DE2" w:rsidRDefault="0075301B">
            <w:pPr>
              <w:spacing w:after="20" w:line="240" w:lineRule="auto"/>
            </w:pPr>
            <w:r>
              <w:rPr>
                <w:sz w:val="18"/>
              </w:rPr>
              <w:t>Registros de verificação</w:t>
            </w:r>
          </w:p>
        </w:tc>
      </w:tr>
      <w:tr w:rsidR="00D67DE2" w14:paraId="3439CA80" w14:textId="77777777">
        <w:tc>
          <w:tcPr>
            <w:tcW w:w="1745" w:type="dxa"/>
          </w:tcPr>
          <w:p w14:paraId="584EFB2B" w14:textId="77777777" w:rsidR="00D67DE2" w:rsidRDefault="0075301B">
            <w:pPr>
              <w:spacing w:after="20" w:line="240" w:lineRule="auto"/>
            </w:pPr>
            <w:r>
              <w:rPr>
                <w:sz w:val="18"/>
              </w:rPr>
              <w:t>Instalações</w:t>
            </w:r>
          </w:p>
        </w:tc>
        <w:tc>
          <w:tcPr>
            <w:tcW w:w="4189" w:type="dxa"/>
          </w:tcPr>
          <w:p w14:paraId="6906877F" w14:textId="77777777" w:rsidR="00D67DE2" w:rsidRDefault="0075301B">
            <w:pPr>
              <w:spacing w:after="20" w:line="240" w:lineRule="auto"/>
            </w:pPr>
            <w:r>
              <w:rPr>
                <w:sz w:val="18"/>
              </w:rPr>
              <w:t>Área coberta, câmara úmida ou tanque para cura, estufa, controle de temperatura onde o método exigir, guarda de amostras com acesso controlado (Anexo 1)</w:t>
            </w:r>
          </w:p>
        </w:tc>
        <w:tc>
          <w:tcPr>
            <w:tcW w:w="3421" w:type="dxa"/>
          </w:tcPr>
          <w:p w14:paraId="3A88FC09" w14:textId="77777777" w:rsidR="00D67DE2" w:rsidRDefault="0075301B">
            <w:pPr>
              <w:spacing w:after="20" w:line="240" w:lineRule="auto"/>
            </w:pPr>
            <w:r>
              <w:rPr>
                <w:sz w:val="18"/>
              </w:rPr>
              <w:t>Diligência</w:t>
            </w:r>
          </w:p>
        </w:tc>
      </w:tr>
      <w:tr w:rsidR="00D67DE2" w14:paraId="005D78A6" w14:textId="77777777">
        <w:tc>
          <w:tcPr>
            <w:tcW w:w="1745" w:type="dxa"/>
          </w:tcPr>
          <w:p w14:paraId="281A5330" w14:textId="77777777" w:rsidR="00D67DE2" w:rsidRDefault="0075301B">
            <w:pPr>
              <w:spacing w:after="20" w:line="240" w:lineRule="auto"/>
            </w:pPr>
            <w:r>
              <w:rPr>
                <w:sz w:val="18"/>
              </w:rPr>
              <w:lastRenderedPageBreak/>
              <w:t>Registros</w:t>
            </w:r>
          </w:p>
        </w:tc>
        <w:tc>
          <w:tcPr>
            <w:tcW w:w="4189" w:type="dxa"/>
          </w:tcPr>
          <w:p w14:paraId="14F6253E" w14:textId="77777777" w:rsidR="00D67DE2" w:rsidRDefault="0075301B">
            <w:pPr>
              <w:spacing w:after="20" w:line="240" w:lineRule="auto"/>
            </w:pPr>
            <w:r>
              <w:rPr>
                <w:sz w:val="18"/>
              </w:rPr>
              <w:t>Dados brutos, fichas de cálculo fornecidas pela Concessionária (seção 6), laudos com versão e trilha de correção</w:t>
            </w:r>
          </w:p>
        </w:tc>
        <w:tc>
          <w:tcPr>
            <w:tcW w:w="3421" w:type="dxa"/>
          </w:tcPr>
          <w:p w14:paraId="41FF75F8" w14:textId="77777777" w:rsidR="00D67DE2" w:rsidRDefault="0075301B">
            <w:pPr>
              <w:spacing w:after="20" w:line="240" w:lineRule="auto"/>
            </w:pPr>
            <w:r>
              <w:rPr>
                <w:sz w:val="18"/>
              </w:rPr>
              <w:t>Auditoria de registros</w:t>
            </w:r>
          </w:p>
        </w:tc>
      </w:tr>
      <w:tr w:rsidR="00D67DE2" w14:paraId="4DA7ED79" w14:textId="77777777">
        <w:tc>
          <w:tcPr>
            <w:tcW w:w="1745" w:type="dxa"/>
          </w:tcPr>
          <w:p w14:paraId="1CEA2BB5" w14:textId="77777777" w:rsidR="00D67DE2" w:rsidRDefault="0075301B">
            <w:pPr>
              <w:spacing w:after="20" w:line="240" w:lineRule="auto"/>
            </w:pPr>
            <w:r>
              <w:rPr>
                <w:sz w:val="18"/>
              </w:rPr>
              <w:t>Independência</w:t>
            </w:r>
          </w:p>
        </w:tc>
        <w:tc>
          <w:tcPr>
            <w:tcW w:w="4189" w:type="dxa"/>
          </w:tcPr>
          <w:p w14:paraId="5E9B8975" w14:textId="77777777" w:rsidR="00D67DE2" w:rsidRDefault="0075301B">
            <w:pPr>
              <w:spacing w:after="20" w:line="240" w:lineRule="auto"/>
            </w:pPr>
            <w:r>
              <w:rPr>
                <w:sz w:val="18"/>
              </w:rPr>
              <w:t>Declaração de vínculos; laboratório contratado sem serviço remunerado a EXECUTORAS da concessão (seção 16 da Política)</w:t>
            </w:r>
          </w:p>
        </w:tc>
        <w:tc>
          <w:tcPr>
            <w:tcW w:w="3421" w:type="dxa"/>
          </w:tcPr>
          <w:p w14:paraId="0FF53967" w14:textId="77777777" w:rsidR="00D67DE2" w:rsidRDefault="0075301B">
            <w:pPr>
              <w:spacing w:after="20" w:line="240" w:lineRule="auto"/>
            </w:pPr>
            <w:r>
              <w:rPr>
                <w:sz w:val="18"/>
              </w:rPr>
              <w:t>Declaração na proposta e anual</w:t>
            </w:r>
          </w:p>
        </w:tc>
      </w:tr>
    </w:tbl>
    <w:p w14:paraId="3E4E189E" w14:textId="77777777" w:rsidR="00D67DE2" w:rsidRDefault="00D67DE2">
      <w:pPr>
        <w:spacing w:after="40"/>
      </w:pPr>
    </w:p>
    <w:p w14:paraId="5513412F" w14:textId="77777777" w:rsidR="00D67DE2" w:rsidRDefault="0075301B">
      <w:pPr>
        <w:pStyle w:val="Ttulo1"/>
        <w:spacing w:before="280" w:after="120"/>
      </w:pPr>
      <w:r>
        <w:rPr>
          <w:rFonts w:ascii="Calibri" w:eastAsia="Calibri" w:hAnsi="Calibri" w:cs="Calibri"/>
        </w:rPr>
        <w:t>3. Acreditação</w:t>
      </w:r>
    </w:p>
    <w:p w14:paraId="5EB89578" w14:textId="77777777" w:rsidR="00D67DE2" w:rsidRDefault="0075301B">
      <w:pPr>
        <w:spacing w:after="120"/>
      </w:pPr>
      <w:r>
        <w:t>Na contratação de laboratório vigente em 21/10/2026, a acreditação ISO/IEC 17025 pela Cgcre/Inmetro, no escopo das propriedades críticas (teor de ligante, granulometria, grau de compactação, vazios de mistura asfáltica, resistência do concreto), é critério de pontuação técnica, não de habilitação. A partir da contratação seguinte de laboratório pela Concessionária, a acreditação nesse escopo passa a requisito de habilitação. Laboratório da EXECUTORA não precisa de acreditação, mas atende à seção 2 e às dili</w:t>
      </w:r>
      <w:r>
        <w:t>gências.</w:t>
      </w:r>
    </w:p>
    <w:p w14:paraId="6A4AFDEC" w14:textId="77777777" w:rsidR="00D67DE2" w:rsidRDefault="0075301B">
      <w:pPr>
        <w:pStyle w:val="Ttulo1"/>
        <w:spacing w:before="280" w:after="120"/>
      </w:pPr>
      <w:r>
        <w:rPr>
          <w:rFonts w:ascii="Calibri" w:eastAsia="Calibri" w:hAnsi="Calibri" w:cs="Calibri"/>
        </w:rPr>
        <w:t>4. Lista mínima de equipamentos, calibração e verificação</w:t>
      </w:r>
    </w:p>
    <w:tbl>
      <w:tblPr>
        <w:tblStyle w:val="Tabelacomgrade"/>
        <w:tblW w:w="0" w:type="auto"/>
        <w:tblLayout w:type="fixed"/>
        <w:tblLook w:val="04A0" w:firstRow="1" w:lastRow="0" w:firstColumn="1" w:lastColumn="0" w:noHBand="0" w:noVBand="1"/>
      </w:tblPr>
      <w:tblGrid>
        <w:gridCol w:w="1523"/>
        <w:gridCol w:w="2611"/>
        <w:gridCol w:w="2611"/>
        <w:gridCol w:w="2611"/>
      </w:tblGrid>
      <w:tr w:rsidR="00D67DE2" w14:paraId="481FC069" w14:textId="77777777">
        <w:trPr>
          <w:tblHeader/>
        </w:trPr>
        <w:tc>
          <w:tcPr>
            <w:tcW w:w="1523" w:type="dxa"/>
            <w:shd w:val="clear" w:color="auto" w:fill="F3F2ED"/>
          </w:tcPr>
          <w:p w14:paraId="59FC4510" w14:textId="77777777" w:rsidR="00D67DE2" w:rsidRDefault="0075301B">
            <w:pPr>
              <w:spacing w:after="20" w:line="240" w:lineRule="auto"/>
            </w:pPr>
            <w:r>
              <w:rPr>
                <w:b/>
                <w:sz w:val="18"/>
              </w:rPr>
              <w:t>Família</w:t>
            </w:r>
          </w:p>
        </w:tc>
        <w:tc>
          <w:tcPr>
            <w:tcW w:w="2611" w:type="dxa"/>
            <w:shd w:val="clear" w:color="auto" w:fill="F3F2ED"/>
          </w:tcPr>
          <w:p w14:paraId="3DF25A18" w14:textId="77777777" w:rsidR="00D67DE2" w:rsidRDefault="0075301B">
            <w:pPr>
              <w:spacing w:after="20" w:line="240" w:lineRule="auto"/>
            </w:pPr>
            <w:r>
              <w:rPr>
                <w:b/>
                <w:sz w:val="18"/>
              </w:rPr>
              <w:t>Equipamentos</w:t>
            </w:r>
          </w:p>
        </w:tc>
        <w:tc>
          <w:tcPr>
            <w:tcW w:w="2611" w:type="dxa"/>
            <w:shd w:val="clear" w:color="auto" w:fill="F3F2ED"/>
          </w:tcPr>
          <w:p w14:paraId="1577180C" w14:textId="77777777" w:rsidR="00D67DE2" w:rsidRDefault="0075301B">
            <w:pPr>
              <w:spacing w:after="20" w:line="240" w:lineRule="auto"/>
            </w:pPr>
            <w:r>
              <w:rPr>
                <w:b/>
                <w:sz w:val="18"/>
              </w:rPr>
              <w:t>Calibração rastreável</w:t>
            </w:r>
          </w:p>
        </w:tc>
        <w:tc>
          <w:tcPr>
            <w:tcW w:w="2611" w:type="dxa"/>
            <w:shd w:val="clear" w:color="auto" w:fill="F3F2ED"/>
          </w:tcPr>
          <w:p w14:paraId="14E24939" w14:textId="77777777" w:rsidR="00D67DE2" w:rsidRDefault="0075301B">
            <w:pPr>
              <w:spacing w:after="20" w:line="240" w:lineRule="auto"/>
            </w:pPr>
            <w:r>
              <w:rPr>
                <w:b/>
                <w:sz w:val="18"/>
              </w:rPr>
              <w:t>Verificação intermediária</w:t>
            </w:r>
          </w:p>
        </w:tc>
      </w:tr>
      <w:tr w:rsidR="00D67DE2" w14:paraId="18447FFB" w14:textId="77777777">
        <w:tc>
          <w:tcPr>
            <w:tcW w:w="1523" w:type="dxa"/>
          </w:tcPr>
          <w:p w14:paraId="05255889" w14:textId="77777777" w:rsidR="00D67DE2" w:rsidRDefault="0075301B">
            <w:pPr>
              <w:spacing w:after="20" w:line="240" w:lineRule="auto"/>
            </w:pPr>
            <w:r>
              <w:rPr>
                <w:sz w:val="18"/>
              </w:rPr>
              <w:t>Massa e volume</w:t>
            </w:r>
          </w:p>
        </w:tc>
        <w:tc>
          <w:tcPr>
            <w:tcW w:w="2611" w:type="dxa"/>
          </w:tcPr>
          <w:p w14:paraId="04C231D3" w14:textId="77777777" w:rsidR="00D67DE2" w:rsidRDefault="0075301B">
            <w:pPr>
              <w:spacing w:after="20" w:line="240" w:lineRule="auto"/>
            </w:pPr>
            <w:r>
              <w:rPr>
                <w:sz w:val="18"/>
              </w:rPr>
              <w:t>Balanças (0,01 g; 0,1 g; 1 g; 10 g), pesos padrão, cilindros e moldes de volume conhecido</w:t>
            </w:r>
          </w:p>
        </w:tc>
        <w:tc>
          <w:tcPr>
            <w:tcW w:w="2611" w:type="dxa"/>
          </w:tcPr>
          <w:p w14:paraId="28FE2C04" w14:textId="77777777" w:rsidR="00D67DE2" w:rsidRDefault="0075301B">
            <w:pPr>
              <w:spacing w:after="20" w:line="240" w:lineRule="auto"/>
            </w:pPr>
            <w:r>
              <w:rPr>
                <w:sz w:val="18"/>
              </w:rPr>
              <w:t>Balanças: 6 meses; demais: 12 meses</w:t>
            </w:r>
          </w:p>
        </w:tc>
        <w:tc>
          <w:tcPr>
            <w:tcW w:w="2611" w:type="dxa"/>
          </w:tcPr>
          <w:p w14:paraId="39EB706B" w14:textId="77777777" w:rsidR="00D67DE2" w:rsidRDefault="0075301B">
            <w:pPr>
              <w:spacing w:after="20" w:line="240" w:lineRule="auto"/>
            </w:pPr>
            <w:r>
              <w:rPr>
                <w:sz w:val="18"/>
              </w:rPr>
              <w:t>Semanal com massa padrão; moldes a cada 6 meses por medição</w:t>
            </w:r>
          </w:p>
        </w:tc>
      </w:tr>
      <w:tr w:rsidR="00D67DE2" w14:paraId="6A6C18E2" w14:textId="77777777">
        <w:tc>
          <w:tcPr>
            <w:tcW w:w="1523" w:type="dxa"/>
          </w:tcPr>
          <w:p w14:paraId="16EE8220" w14:textId="77777777" w:rsidR="00D67DE2" w:rsidRDefault="0075301B">
            <w:pPr>
              <w:spacing w:after="20" w:line="240" w:lineRule="auto"/>
            </w:pPr>
            <w:r>
              <w:rPr>
                <w:sz w:val="18"/>
              </w:rPr>
              <w:t>Temperatura</w:t>
            </w:r>
          </w:p>
        </w:tc>
        <w:tc>
          <w:tcPr>
            <w:tcW w:w="2611" w:type="dxa"/>
          </w:tcPr>
          <w:p w14:paraId="5702B31B" w14:textId="77777777" w:rsidR="00D67DE2" w:rsidRDefault="0075301B">
            <w:pPr>
              <w:spacing w:after="20" w:line="240" w:lineRule="auto"/>
            </w:pPr>
            <w:r>
              <w:rPr>
                <w:sz w:val="18"/>
              </w:rPr>
              <w:t>Estufas, banhos, termômetros de referência e de uso, termômetro infravermelho de pista</w:t>
            </w:r>
          </w:p>
        </w:tc>
        <w:tc>
          <w:tcPr>
            <w:tcW w:w="2611" w:type="dxa"/>
          </w:tcPr>
          <w:p w14:paraId="1D9DF677" w14:textId="77777777" w:rsidR="00D67DE2" w:rsidRDefault="0075301B">
            <w:pPr>
              <w:spacing w:after="20" w:line="240" w:lineRule="auto"/>
            </w:pPr>
            <w:r>
              <w:rPr>
                <w:sz w:val="18"/>
              </w:rPr>
              <w:t>12 meses</w:t>
            </w:r>
          </w:p>
        </w:tc>
        <w:tc>
          <w:tcPr>
            <w:tcW w:w="2611" w:type="dxa"/>
          </w:tcPr>
          <w:p w14:paraId="5004FD09" w14:textId="77777777" w:rsidR="00D67DE2" w:rsidRDefault="0075301B">
            <w:pPr>
              <w:spacing w:after="20" w:line="240" w:lineRule="auto"/>
            </w:pPr>
            <w:r>
              <w:rPr>
                <w:sz w:val="18"/>
              </w:rPr>
              <w:t>Mensal contra o termômetro de referência</w:t>
            </w:r>
          </w:p>
        </w:tc>
      </w:tr>
      <w:tr w:rsidR="00D67DE2" w14:paraId="55F14DF3" w14:textId="77777777">
        <w:tc>
          <w:tcPr>
            <w:tcW w:w="1523" w:type="dxa"/>
          </w:tcPr>
          <w:p w14:paraId="50039567" w14:textId="77777777" w:rsidR="00D67DE2" w:rsidRDefault="0075301B">
            <w:pPr>
              <w:spacing w:after="20" w:line="240" w:lineRule="auto"/>
            </w:pPr>
            <w:r>
              <w:rPr>
                <w:sz w:val="18"/>
              </w:rPr>
              <w:t>Dimensional</w:t>
            </w:r>
          </w:p>
        </w:tc>
        <w:tc>
          <w:tcPr>
            <w:tcW w:w="2611" w:type="dxa"/>
          </w:tcPr>
          <w:p w14:paraId="34878190" w14:textId="77777777" w:rsidR="00D67DE2" w:rsidRDefault="0075301B">
            <w:pPr>
              <w:spacing w:after="20" w:line="240" w:lineRule="auto"/>
            </w:pPr>
            <w:r>
              <w:rPr>
                <w:sz w:val="18"/>
              </w:rPr>
              <w:t>Paquímetros, réguas, trenas, crivos e paquímetro de forma, peneiras</w:t>
            </w:r>
          </w:p>
        </w:tc>
        <w:tc>
          <w:tcPr>
            <w:tcW w:w="2611" w:type="dxa"/>
          </w:tcPr>
          <w:p w14:paraId="4D822F6D" w14:textId="77777777" w:rsidR="00D67DE2" w:rsidRDefault="0075301B">
            <w:pPr>
              <w:spacing w:after="20" w:line="240" w:lineRule="auto"/>
            </w:pPr>
            <w:r>
              <w:rPr>
                <w:sz w:val="18"/>
              </w:rPr>
              <w:t>12 meses; peneiras por inspeção de abertura a cada 12 meses</w:t>
            </w:r>
          </w:p>
        </w:tc>
        <w:tc>
          <w:tcPr>
            <w:tcW w:w="2611" w:type="dxa"/>
          </w:tcPr>
          <w:p w14:paraId="166258B1" w14:textId="77777777" w:rsidR="00D67DE2" w:rsidRDefault="0075301B">
            <w:pPr>
              <w:spacing w:after="20" w:line="240" w:lineRule="auto"/>
            </w:pPr>
            <w:r>
              <w:rPr>
                <w:sz w:val="18"/>
              </w:rPr>
              <w:t>Peneiras: inspeção visual mensal e massa de controle trimestral</w:t>
            </w:r>
          </w:p>
        </w:tc>
      </w:tr>
      <w:tr w:rsidR="00D67DE2" w14:paraId="40A9730F" w14:textId="77777777">
        <w:tc>
          <w:tcPr>
            <w:tcW w:w="1523" w:type="dxa"/>
          </w:tcPr>
          <w:p w14:paraId="25484057" w14:textId="77777777" w:rsidR="00D67DE2" w:rsidRDefault="0075301B">
            <w:pPr>
              <w:spacing w:after="20" w:line="240" w:lineRule="auto"/>
            </w:pPr>
            <w:r>
              <w:rPr>
                <w:sz w:val="18"/>
              </w:rPr>
              <w:t>Força e pressão</w:t>
            </w:r>
          </w:p>
        </w:tc>
        <w:tc>
          <w:tcPr>
            <w:tcW w:w="2611" w:type="dxa"/>
          </w:tcPr>
          <w:p w14:paraId="5FD91402" w14:textId="77777777" w:rsidR="00D67DE2" w:rsidRDefault="0075301B">
            <w:pPr>
              <w:spacing w:after="20" w:line="240" w:lineRule="auto"/>
            </w:pPr>
            <w:r>
              <w:rPr>
                <w:sz w:val="18"/>
              </w:rPr>
              <w:t>Prensas de concreto e de CBR, prensa Marshall, anéis dinamométricos, células de carga, manômetros, macacos de prova de carga</w:t>
            </w:r>
          </w:p>
        </w:tc>
        <w:tc>
          <w:tcPr>
            <w:tcW w:w="2611" w:type="dxa"/>
          </w:tcPr>
          <w:p w14:paraId="25E178BB" w14:textId="77777777" w:rsidR="00D67DE2" w:rsidRDefault="0075301B">
            <w:pPr>
              <w:spacing w:after="20" w:line="240" w:lineRule="auto"/>
            </w:pPr>
            <w:r>
              <w:rPr>
                <w:sz w:val="18"/>
              </w:rPr>
              <w:t>Prensas: 6 meses e após reparo ou mudança de local; demais: 12 meses</w:t>
            </w:r>
          </w:p>
        </w:tc>
        <w:tc>
          <w:tcPr>
            <w:tcW w:w="2611" w:type="dxa"/>
          </w:tcPr>
          <w:p w14:paraId="55E155E7" w14:textId="77777777" w:rsidR="00D67DE2" w:rsidRDefault="0075301B">
            <w:pPr>
              <w:spacing w:after="20" w:line="240" w:lineRule="auto"/>
            </w:pPr>
            <w:r>
              <w:rPr>
                <w:sz w:val="18"/>
              </w:rPr>
              <w:t>Verificação trimestral com célula de referência ou anel</w:t>
            </w:r>
          </w:p>
        </w:tc>
      </w:tr>
      <w:tr w:rsidR="00D67DE2" w14:paraId="716354C4" w14:textId="77777777">
        <w:tc>
          <w:tcPr>
            <w:tcW w:w="1523" w:type="dxa"/>
          </w:tcPr>
          <w:p w14:paraId="3FAFCEC1" w14:textId="77777777" w:rsidR="00D67DE2" w:rsidRDefault="0075301B">
            <w:pPr>
              <w:spacing w:after="20" w:line="240" w:lineRule="auto"/>
            </w:pPr>
            <w:r>
              <w:rPr>
                <w:sz w:val="18"/>
              </w:rPr>
              <w:t>Compactação</w:t>
            </w:r>
          </w:p>
        </w:tc>
        <w:tc>
          <w:tcPr>
            <w:tcW w:w="2611" w:type="dxa"/>
          </w:tcPr>
          <w:p w14:paraId="569BA6D1" w14:textId="77777777" w:rsidR="00D67DE2" w:rsidRDefault="0075301B">
            <w:pPr>
              <w:spacing w:after="20" w:line="240" w:lineRule="auto"/>
            </w:pPr>
            <w:r>
              <w:rPr>
                <w:sz w:val="18"/>
              </w:rPr>
              <w:t>Soquetes e cilindros (massa, queda, volume), compactador giratório, compactador Marshall</w:t>
            </w:r>
          </w:p>
        </w:tc>
        <w:tc>
          <w:tcPr>
            <w:tcW w:w="2611" w:type="dxa"/>
          </w:tcPr>
          <w:p w14:paraId="2C5B7E90" w14:textId="77777777" w:rsidR="00D67DE2" w:rsidRDefault="0075301B">
            <w:pPr>
              <w:spacing w:after="20" w:line="240" w:lineRule="auto"/>
            </w:pPr>
            <w:r>
              <w:rPr>
                <w:sz w:val="18"/>
              </w:rPr>
              <w:t>12 meses</w:t>
            </w:r>
          </w:p>
        </w:tc>
        <w:tc>
          <w:tcPr>
            <w:tcW w:w="2611" w:type="dxa"/>
          </w:tcPr>
          <w:p w14:paraId="4D131D99" w14:textId="77777777" w:rsidR="00D67DE2" w:rsidRDefault="0075301B">
            <w:pPr>
              <w:spacing w:after="20" w:line="240" w:lineRule="auto"/>
            </w:pPr>
            <w:r>
              <w:rPr>
                <w:sz w:val="18"/>
              </w:rPr>
              <w:t>Massa e altura de queda a cada 3 meses</w:t>
            </w:r>
          </w:p>
        </w:tc>
      </w:tr>
      <w:tr w:rsidR="00D67DE2" w14:paraId="41EFE190" w14:textId="77777777">
        <w:tc>
          <w:tcPr>
            <w:tcW w:w="1523" w:type="dxa"/>
          </w:tcPr>
          <w:p w14:paraId="0AB7C969" w14:textId="77777777" w:rsidR="00D67DE2" w:rsidRDefault="0075301B">
            <w:pPr>
              <w:spacing w:after="20" w:line="240" w:lineRule="auto"/>
            </w:pPr>
            <w:r>
              <w:rPr>
                <w:sz w:val="18"/>
              </w:rPr>
              <w:t>Densidade e volumetria</w:t>
            </w:r>
          </w:p>
        </w:tc>
        <w:tc>
          <w:tcPr>
            <w:tcW w:w="2611" w:type="dxa"/>
          </w:tcPr>
          <w:p w14:paraId="47B66B54" w14:textId="77777777" w:rsidR="00D67DE2" w:rsidRDefault="0075301B">
            <w:pPr>
              <w:spacing w:after="20" w:line="240" w:lineRule="auto"/>
            </w:pPr>
            <w:r>
              <w:rPr>
                <w:sz w:val="18"/>
              </w:rPr>
              <w:t>Frasco de areia e areia padrão, densímetro não nuclear, picnômetro, balança hidrostática, bomba de vácuo e manômetro do Gmm</w:t>
            </w:r>
          </w:p>
        </w:tc>
        <w:tc>
          <w:tcPr>
            <w:tcW w:w="2611" w:type="dxa"/>
          </w:tcPr>
          <w:p w14:paraId="3C405978" w14:textId="77777777" w:rsidR="00D67DE2" w:rsidRDefault="0075301B">
            <w:pPr>
              <w:spacing w:after="20" w:line="240" w:lineRule="auto"/>
            </w:pPr>
            <w:r>
              <w:rPr>
                <w:sz w:val="18"/>
              </w:rPr>
              <w:t>12 meses; densímetro não nuclear calibrado por traço na pista</w:t>
            </w:r>
          </w:p>
        </w:tc>
        <w:tc>
          <w:tcPr>
            <w:tcW w:w="2611" w:type="dxa"/>
          </w:tcPr>
          <w:p w14:paraId="0BB53646" w14:textId="77777777" w:rsidR="00D67DE2" w:rsidRDefault="0075301B">
            <w:pPr>
              <w:spacing w:after="20" w:line="240" w:lineRule="auto"/>
            </w:pPr>
            <w:r>
              <w:rPr>
                <w:sz w:val="18"/>
              </w:rPr>
              <w:t>Areia padrão por lote; densímetro verificado contra testemunho a cada jornada</w:t>
            </w:r>
          </w:p>
        </w:tc>
      </w:tr>
      <w:tr w:rsidR="00D67DE2" w14:paraId="7977F57D" w14:textId="77777777">
        <w:tc>
          <w:tcPr>
            <w:tcW w:w="1523" w:type="dxa"/>
          </w:tcPr>
          <w:p w14:paraId="2AAD2BC1" w14:textId="77777777" w:rsidR="00D67DE2" w:rsidRDefault="0075301B">
            <w:pPr>
              <w:spacing w:after="20" w:line="240" w:lineRule="auto"/>
            </w:pPr>
            <w:r>
              <w:rPr>
                <w:sz w:val="18"/>
              </w:rPr>
              <w:t>Deflectometria e avaliação de pista</w:t>
            </w:r>
          </w:p>
        </w:tc>
        <w:tc>
          <w:tcPr>
            <w:tcW w:w="2611" w:type="dxa"/>
          </w:tcPr>
          <w:p w14:paraId="507447CE" w14:textId="77777777" w:rsidR="00D67DE2" w:rsidRDefault="0075301B">
            <w:pPr>
              <w:spacing w:after="20" w:line="240" w:lineRule="auto"/>
            </w:pPr>
            <w:r>
              <w:rPr>
                <w:sz w:val="18"/>
              </w:rPr>
              <w:t>Viga Benkelman, FWD, perfilômetro inercial, pêndulo britânico, equipamento de mancha de areia, retrorrefletômetros</w:t>
            </w:r>
          </w:p>
        </w:tc>
        <w:tc>
          <w:tcPr>
            <w:tcW w:w="2611" w:type="dxa"/>
          </w:tcPr>
          <w:p w14:paraId="17F3889F" w14:textId="77777777" w:rsidR="00D67DE2" w:rsidRDefault="0075301B">
            <w:pPr>
              <w:spacing w:after="20" w:line="240" w:lineRule="auto"/>
            </w:pPr>
            <w:r>
              <w:rPr>
                <w:sz w:val="18"/>
              </w:rPr>
              <w:t xml:space="preserve">Viga: aferição pela DNIT 175/2025-PRO antes de cada campanha de recebimento e no prazo da norma; FWD: certificado anual e verificação de carga por campanha; </w:t>
            </w:r>
            <w:r>
              <w:rPr>
                <w:sz w:val="18"/>
              </w:rPr>
              <w:lastRenderedPageBreak/>
              <w:t>perfilômetro: calibração e verificação por campanha conforme DNIT 442/2023-PRO; retrorrefletômetro: certificado de no máximo 12 meses (NBR 14723)</w:t>
            </w:r>
          </w:p>
        </w:tc>
        <w:tc>
          <w:tcPr>
            <w:tcW w:w="2611" w:type="dxa"/>
          </w:tcPr>
          <w:p w14:paraId="74CD0CFB" w14:textId="77777777" w:rsidR="00D67DE2" w:rsidRDefault="0075301B">
            <w:pPr>
              <w:spacing w:after="20" w:line="240" w:lineRule="auto"/>
            </w:pPr>
            <w:r>
              <w:rPr>
                <w:sz w:val="18"/>
              </w:rPr>
              <w:lastRenderedPageBreak/>
              <w:t>Antes de cada campanha, registrada no relatório</w:t>
            </w:r>
          </w:p>
        </w:tc>
      </w:tr>
      <w:tr w:rsidR="00D67DE2" w14:paraId="66041A18" w14:textId="77777777">
        <w:tc>
          <w:tcPr>
            <w:tcW w:w="1523" w:type="dxa"/>
          </w:tcPr>
          <w:p w14:paraId="0A11A371" w14:textId="77777777" w:rsidR="00D67DE2" w:rsidRDefault="0075301B">
            <w:pPr>
              <w:spacing w:after="20" w:line="240" w:lineRule="auto"/>
            </w:pPr>
            <w:r>
              <w:rPr>
                <w:sz w:val="18"/>
              </w:rPr>
              <w:t>Ligantes</w:t>
            </w:r>
          </w:p>
        </w:tc>
        <w:tc>
          <w:tcPr>
            <w:tcW w:w="2611" w:type="dxa"/>
          </w:tcPr>
          <w:p w14:paraId="61B7D03C" w14:textId="77777777" w:rsidR="00D67DE2" w:rsidRDefault="0075301B">
            <w:pPr>
              <w:spacing w:after="20" w:line="240" w:lineRule="auto"/>
            </w:pPr>
            <w:r>
              <w:rPr>
                <w:sz w:val="18"/>
              </w:rPr>
              <w:t>Penetrômetro, anel e bola, viscosímetros, estufa RTFOT, ductilômetro, ponto de fulgor</w:t>
            </w:r>
          </w:p>
        </w:tc>
        <w:tc>
          <w:tcPr>
            <w:tcW w:w="2611" w:type="dxa"/>
          </w:tcPr>
          <w:p w14:paraId="63BC71C0" w14:textId="77777777" w:rsidR="00D67DE2" w:rsidRDefault="0075301B">
            <w:pPr>
              <w:spacing w:after="20" w:line="240" w:lineRule="auto"/>
            </w:pPr>
            <w:r>
              <w:rPr>
                <w:sz w:val="18"/>
              </w:rPr>
              <w:t>12 meses</w:t>
            </w:r>
          </w:p>
        </w:tc>
        <w:tc>
          <w:tcPr>
            <w:tcW w:w="2611" w:type="dxa"/>
          </w:tcPr>
          <w:p w14:paraId="4F64B86D" w14:textId="77777777" w:rsidR="00D67DE2" w:rsidRDefault="0075301B">
            <w:pPr>
              <w:spacing w:after="20" w:line="240" w:lineRule="auto"/>
            </w:pPr>
            <w:r>
              <w:rPr>
                <w:sz w:val="18"/>
              </w:rPr>
              <w:t>Padrão de referência a cada 3 meses</w:t>
            </w:r>
          </w:p>
        </w:tc>
      </w:tr>
      <w:tr w:rsidR="00D67DE2" w14:paraId="2E242B66" w14:textId="77777777">
        <w:tc>
          <w:tcPr>
            <w:tcW w:w="1523" w:type="dxa"/>
          </w:tcPr>
          <w:p w14:paraId="4669E528" w14:textId="77777777" w:rsidR="00D67DE2" w:rsidRDefault="0075301B">
            <w:pPr>
              <w:spacing w:after="20" w:line="240" w:lineRule="auto"/>
            </w:pPr>
            <w:r>
              <w:rPr>
                <w:sz w:val="18"/>
              </w:rPr>
              <w:t>Concreto</w:t>
            </w:r>
          </w:p>
        </w:tc>
        <w:tc>
          <w:tcPr>
            <w:tcW w:w="2611" w:type="dxa"/>
          </w:tcPr>
          <w:p w14:paraId="67891296" w14:textId="77777777" w:rsidR="00D67DE2" w:rsidRDefault="0075301B">
            <w:pPr>
              <w:spacing w:after="20" w:line="240" w:lineRule="auto"/>
            </w:pPr>
            <w:r>
              <w:rPr>
                <w:sz w:val="18"/>
              </w:rPr>
              <w:t>Cone de abatimento, moldes, mesa vibratória, prensa, extrator de testemunhos, câmara úmida (temperatura e umidade)</w:t>
            </w:r>
          </w:p>
        </w:tc>
        <w:tc>
          <w:tcPr>
            <w:tcW w:w="2611" w:type="dxa"/>
          </w:tcPr>
          <w:p w14:paraId="109AE348" w14:textId="77777777" w:rsidR="00D67DE2" w:rsidRDefault="0075301B">
            <w:pPr>
              <w:spacing w:after="20" w:line="240" w:lineRule="auto"/>
            </w:pPr>
            <w:r>
              <w:rPr>
                <w:sz w:val="18"/>
              </w:rPr>
              <w:t>12 meses</w:t>
            </w:r>
          </w:p>
        </w:tc>
        <w:tc>
          <w:tcPr>
            <w:tcW w:w="2611" w:type="dxa"/>
          </w:tcPr>
          <w:p w14:paraId="210DEC04" w14:textId="77777777" w:rsidR="00D67DE2" w:rsidRDefault="0075301B">
            <w:pPr>
              <w:spacing w:after="20" w:line="240" w:lineRule="auto"/>
            </w:pPr>
            <w:r>
              <w:rPr>
                <w:sz w:val="18"/>
              </w:rPr>
              <w:t>Moldes a cada 6 meses; câmara úmida com registro diário</w:t>
            </w:r>
          </w:p>
        </w:tc>
      </w:tr>
      <w:tr w:rsidR="00D67DE2" w14:paraId="22CB3A4E" w14:textId="77777777">
        <w:tc>
          <w:tcPr>
            <w:tcW w:w="1523" w:type="dxa"/>
          </w:tcPr>
          <w:p w14:paraId="3CA1A8A5" w14:textId="77777777" w:rsidR="00D67DE2" w:rsidRDefault="0075301B">
            <w:pPr>
              <w:spacing w:after="20" w:line="240" w:lineRule="auto"/>
            </w:pPr>
            <w:r>
              <w:rPr>
                <w:sz w:val="18"/>
              </w:rPr>
              <w:t>Geotecnia de laboratório</w:t>
            </w:r>
          </w:p>
        </w:tc>
        <w:tc>
          <w:tcPr>
            <w:tcW w:w="2611" w:type="dxa"/>
          </w:tcPr>
          <w:p w14:paraId="20CF8B73" w14:textId="77777777" w:rsidR="00D67DE2" w:rsidRDefault="0075301B">
            <w:pPr>
              <w:spacing w:after="20" w:line="240" w:lineRule="auto"/>
            </w:pPr>
            <w:r>
              <w:rPr>
                <w:sz w:val="18"/>
              </w:rPr>
              <w:t>Aparelho de Casagrande, estufas, dispositivos de limites, prensa de adensamento, triaxial e permeâmetro quando houver</w:t>
            </w:r>
          </w:p>
        </w:tc>
        <w:tc>
          <w:tcPr>
            <w:tcW w:w="2611" w:type="dxa"/>
          </w:tcPr>
          <w:p w14:paraId="55257585" w14:textId="77777777" w:rsidR="00D67DE2" w:rsidRDefault="0075301B">
            <w:pPr>
              <w:spacing w:after="20" w:line="240" w:lineRule="auto"/>
            </w:pPr>
            <w:r>
              <w:rPr>
                <w:sz w:val="18"/>
              </w:rPr>
              <w:t>12 meses</w:t>
            </w:r>
          </w:p>
        </w:tc>
        <w:tc>
          <w:tcPr>
            <w:tcW w:w="2611" w:type="dxa"/>
          </w:tcPr>
          <w:p w14:paraId="191A58BE" w14:textId="77777777" w:rsidR="00D67DE2" w:rsidRDefault="0075301B">
            <w:pPr>
              <w:spacing w:after="20" w:line="240" w:lineRule="auto"/>
            </w:pPr>
            <w:r>
              <w:rPr>
                <w:sz w:val="18"/>
              </w:rPr>
              <w:t>Conforme o método</w:t>
            </w:r>
          </w:p>
        </w:tc>
      </w:tr>
    </w:tbl>
    <w:p w14:paraId="69888E89" w14:textId="77777777" w:rsidR="00D67DE2" w:rsidRDefault="00D67DE2">
      <w:pPr>
        <w:spacing w:after="40"/>
      </w:pPr>
    </w:p>
    <w:p w14:paraId="36D1138F" w14:textId="77777777" w:rsidR="00D67DE2" w:rsidRDefault="0075301B">
      <w:pPr>
        <w:spacing w:after="120"/>
      </w:pPr>
      <w:r>
        <w:t>Equipamento com calibração vencida, certificado sem rastreabilidade ou verificação intermediária reprovada é retirado de uso, identificado e registrado; os resultados obtidos desde a última verificação aprovada são reavaliados e, quando afetados, invalidados com RNC.</w:t>
      </w:r>
    </w:p>
    <w:p w14:paraId="0DE81D1C" w14:textId="77777777" w:rsidR="00D67DE2" w:rsidRDefault="0075301B">
      <w:pPr>
        <w:pStyle w:val="Ttulo1"/>
        <w:spacing w:before="280" w:after="120"/>
      </w:pPr>
      <w:r>
        <w:rPr>
          <w:rFonts w:ascii="Calibri" w:eastAsia="Calibri" w:hAnsi="Calibri" w:cs="Calibri"/>
        </w:rPr>
        <w:t>5. Comparação interlaboratorial</w:t>
      </w:r>
    </w:p>
    <w:p w14:paraId="1CB16B94" w14:textId="77777777" w:rsidR="00D67DE2" w:rsidRDefault="0075301B">
      <w:pPr>
        <w:spacing w:after="120"/>
      </w:pPr>
      <w:r>
        <w:t>A cada semestre, o laboratório contratado e o laboratório de cada EXECUTORA em atividade ensaiam amostras homogêneas das propriedades críticas (teor de ligante, granulometria, grau de compactação, vazios, resistência do concreto; outras a critério da Coordenação), preparadas e distribuídas pela Coordenação de Pavimento e Monitoração. O resultado é comparado com os limites do Anexo 3; desvio acima do limite gera diligência extraordinária e, enquanto não corrigido, eleva a verificação independente da frente a</w:t>
      </w:r>
      <w:r>
        <w:t xml:space="preserve"> 100%. Participação em programa de ensaio de proficiência reconhecido substitui a comparação na propriedade correspondente.</w:t>
      </w:r>
    </w:p>
    <w:p w14:paraId="5D78CD47" w14:textId="77777777" w:rsidR="00D67DE2" w:rsidRDefault="0075301B">
      <w:pPr>
        <w:spacing w:after="120"/>
      </w:pPr>
      <w:r>
        <w:t>A comparação alimenta o indicador CT-07 e a revisão semestral dos limites do Anexo 3.</w:t>
      </w:r>
    </w:p>
    <w:p w14:paraId="7E6805B0" w14:textId="77777777" w:rsidR="00D67DE2" w:rsidRDefault="0075301B">
      <w:pPr>
        <w:pStyle w:val="Ttulo1"/>
        <w:spacing w:before="280" w:after="120"/>
      </w:pPr>
      <w:r>
        <w:rPr>
          <w:rFonts w:ascii="Calibri" w:eastAsia="Calibri" w:hAnsi="Calibri" w:cs="Calibri"/>
        </w:rPr>
        <w:t>6. Fichas de cálculo</w:t>
      </w:r>
    </w:p>
    <w:p w14:paraId="77AF3C87" w14:textId="77777777" w:rsidR="00D67DE2" w:rsidRDefault="0075301B">
      <w:pPr>
        <w:spacing w:after="120"/>
      </w:pPr>
      <w:r>
        <w:t>A Concessionária fornece todas as fichas de cálculo usadas para resultado de aceitação, geradas do modelo canônico de dados de ensaio (tipo de ensaio, campos de entrada, funções de cálculo versionadas, regras de aceitação parametrizadas, amostra, ensaio, medição, resultado, trilha). Cada ficha tem versão, hash e data de homologação registrados no CDE; o laudo cita a versão usada.</w:t>
      </w:r>
    </w:p>
    <w:p w14:paraId="18B1F02C" w14:textId="77777777" w:rsidR="00D67DE2" w:rsidRDefault="0075301B">
      <w:pPr>
        <w:spacing w:after="120"/>
      </w:pPr>
      <w:r>
        <w:t>Regras das fichas:</w:t>
      </w:r>
    </w:p>
    <w:p w14:paraId="7D577576" w14:textId="77777777" w:rsidR="00D67DE2" w:rsidRDefault="0075301B">
      <w:pPr>
        <w:pStyle w:val="Commarcadores"/>
        <w:spacing w:after="60"/>
      </w:pPr>
      <w:r>
        <w:lastRenderedPageBreak/>
        <w:t>Campos de entrada são medidos e digitados: diâmetro e altura de cada corpo de prova, tara pesada, data e hora do ensaio. Dimensão nominal, tara fixa, data automática ou valor gerado não são admitidos.</w:t>
      </w:r>
    </w:p>
    <w:p w14:paraId="1F4239E3" w14:textId="77777777" w:rsidR="00D67DE2" w:rsidRDefault="0075301B">
      <w:pPr>
        <w:pStyle w:val="Commarcadores"/>
        <w:spacing w:after="60"/>
      </w:pPr>
      <w:r>
        <w:t>Constantes físicas vêm da função, não de digitação (π, aceleração da gravidade, densidade da água).</w:t>
      </w:r>
    </w:p>
    <w:p w14:paraId="4AB3836B" w14:textId="77777777" w:rsidR="00D67DE2" w:rsidRDefault="0075301B">
      <w:pPr>
        <w:pStyle w:val="Commarcadores"/>
        <w:spacing w:after="60"/>
      </w:pPr>
      <w:r>
        <w:t>Limites de aceitação vêm do PCT e do Anexo 6, não da ficha; a ficha só os aplica.</w:t>
      </w:r>
    </w:p>
    <w:p w14:paraId="63C5846C" w14:textId="77777777" w:rsidR="00D67DE2" w:rsidRDefault="0075301B">
      <w:pPr>
        <w:pStyle w:val="Commarcadores"/>
        <w:spacing w:after="60"/>
      </w:pPr>
      <w:r>
        <w:t>Resultado é gravado com a versão da ficha; correção cria nova versão do resultado e preserva a anterior, com motivo e autor.</w:t>
      </w:r>
    </w:p>
    <w:p w14:paraId="2B761A4C" w14:textId="77777777" w:rsidR="00D67DE2" w:rsidRDefault="0075301B">
      <w:pPr>
        <w:pStyle w:val="Commarcadores"/>
        <w:spacing w:after="60"/>
      </w:pPr>
      <w:r>
        <w:t>Laboratório que precisar de ficha para método ainda sem versão fornecida apresenta a sua para homologação pela Coordenação (auditoria das fórmulas contra a norma) antes do uso; depois de homologada, ela entra no conjunto fornecido.</w:t>
      </w:r>
    </w:p>
    <w:p w14:paraId="6CDBA122" w14:textId="77777777" w:rsidR="00D67DE2" w:rsidRDefault="0075301B">
      <w:pPr>
        <w:pStyle w:val="Ttulo1"/>
        <w:spacing w:before="280" w:after="120"/>
      </w:pPr>
      <w:r>
        <w:rPr>
          <w:rFonts w:ascii="Calibri" w:eastAsia="Calibri" w:hAnsi="Calibri" w:cs="Calibri"/>
        </w:rPr>
        <w:t>7. Diligência em laboratório</w:t>
      </w:r>
    </w:p>
    <w:tbl>
      <w:tblPr>
        <w:tblStyle w:val="Tabelacomgrade"/>
        <w:tblW w:w="0" w:type="auto"/>
        <w:tblLayout w:type="fixed"/>
        <w:tblLook w:val="04A0" w:firstRow="1" w:lastRow="0" w:firstColumn="1" w:lastColumn="0" w:noHBand="0" w:noVBand="1"/>
      </w:tblPr>
      <w:tblGrid>
        <w:gridCol w:w="1336"/>
        <w:gridCol w:w="4009"/>
        <w:gridCol w:w="4009"/>
      </w:tblGrid>
      <w:tr w:rsidR="00D67DE2" w14:paraId="4F6B8AFF" w14:textId="77777777">
        <w:trPr>
          <w:tblHeader/>
        </w:trPr>
        <w:tc>
          <w:tcPr>
            <w:tcW w:w="1336" w:type="dxa"/>
            <w:shd w:val="clear" w:color="auto" w:fill="F3F2ED"/>
          </w:tcPr>
          <w:p w14:paraId="40C19927" w14:textId="77777777" w:rsidR="00D67DE2" w:rsidRDefault="0075301B">
            <w:pPr>
              <w:spacing w:after="20" w:line="240" w:lineRule="auto"/>
            </w:pPr>
            <w:r>
              <w:rPr>
                <w:b/>
                <w:sz w:val="18"/>
              </w:rPr>
              <w:t>Tipo</w:t>
            </w:r>
          </w:p>
        </w:tc>
        <w:tc>
          <w:tcPr>
            <w:tcW w:w="4009" w:type="dxa"/>
            <w:shd w:val="clear" w:color="auto" w:fill="F3F2ED"/>
          </w:tcPr>
          <w:p w14:paraId="5E1D3420" w14:textId="77777777" w:rsidR="00D67DE2" w:rsidRDefault="0075301B">
            <w:pPr>
              <w:spacing w:after="20" w:line="240" w:lineRule="auto"/>
            </w:pPr>
            <w:r>
              <w:rPr>
                <w:b/>
                <w:sz w:val="18"/>
              </w:rPr>
              <w:t>Quando</w:t>
            </w:r>
          </w:p>
        </w:tc>
        <w:tc>
          <w:tcPr>
            <w:tcW w:w="4009" w:type="dxa"/>
            <w:shd w:val="clear" w:color="auto" w:fill="F3F2ED"/>
          </w:tcPr>
          <w:p w14:paraId="216589FE" w14:textId="77777777" w:rsidR="00D67DE2" w:rsidRDefault="0075301B">
            <w:pPr>
              <w:spacing w:after="20" w:line="240" w:lineRule="auto"/>
            </w:pPr>
            <w:r>
              <w:rPr>
                <w:b/>
                <w:sz w:val="18"/>
              </w:rPr>
              <w:t>Verificação</w:t>
            </w:r>
          </w:p>
        </w:tc>
      </w:tr>
      <w:tr w:rsidR="00D67DE2" w14:paraId="7A005063" w14:textId="77777777">
        <w:tc>
          <w:tcPr>
            <w:tcW w:w="1336" w:type="dxa"/>
          </w:tcPr>
          <w:p w14:paraId="6BC03B8A" w14:textId="77777777" w:rsidR="00D67DE2" w:rsidRDefault="0075301B">
            <w:pPr>
              <w:spacing w:after="20" w:line="240" w:lineRule="auto"/>
            </w:pPr>
            <w:r>
              <w:rPr>
                <w:sz w:val="18"/>
              </w:rPr>
              <w:t>Qualificação</w:t>
            </w:r>
          </w:p>
        </w:tc>
        <w:tc>
          <w:tcPr>
            <w:tcW w:w="4009" w:type="dxa"/>
          </w:tcPr>
          <w:p w14:paraId="48B91458" w14:textId="77777777" w:rsidR="00D67DE2" w:rsidRDefault="0075301B">
            <w:pPr>
              <w:spacing w:after="20" w:line="240" w:lineRule="auto"/>
            </w:pPr>
            <w:r>
              <w:rPr>
                <w:sz w:val="18"/>
              </w:rPr>
              <w:t>Antes da primeira OS (laboratório contratado) ou do primeiro ensaio de controle (laboratório da EXECUTORA, de usina ou de central)</w:t>
            </w:r>
          </w:p>
        </w:tc>
        <w:tc>
          <w:tcPr>
            <w:tcW w:w="4009" w:type="dxa"/>
          </w:tcPr>
          <w:p w14:paraId="7F4E4D81" w14:textId="77777777" w:rsidR="00D67DE2" w:rsidRDefault="0075301B">
            <w:pPr>
              <w:spacing w:after="20" w:line="240" w:lineRule="auto"/>
            </w:pPr>
            <w:r>
              <w:rPr>
                <w:sz w:val="18"/>
              </w:rPr>
              <w:t>Seções 2 e 4 completas; fichas fornecidas instaladas; amostra de qualificação de cada família ensaiada em presença da Coordenação</w:t>
            </w:r>
          </w:p>
        </w:tc>
      </w:tr>
      <w:tr w:rsidR="00D67DE2" w14:paraId="7EF8E02E" w14:textId="77777777">
        <w:tc>
          <w:tcPr>
            <w:tcW w:w="1336" w:type="dxa"/>
          </w:tcPr>
          <w:p w14:paraId="7918CFFC" w14:textId="77777777" w:rsidR="00D67DE2" w:rsidRDefault="0075301B">
            <w:pPr>
              <w:spacing w:after="20" w:line="240" w:lineRule="auto"/>
            </w:pPr>
            <w:r>
              <w:rPr>
                <w:sz w:val="18"/>
              </w:rPr>
              <w:t>Acompanhamento</w:t>
            </w:r>
          </w:p>
        </w:tc>
        <w:tc>
          <w:tcPr>
            <w:tcW w:w="4009" w:type="dxa"/>
          </w:tcPr>
          <w:p w14:paraId="47EFF7A6" w14:textId="77777777" w:rsidR="00D67DE2" w:rsidRDefault="0075301B">
            <w:pPr>
              <w:spacing w:after="20" w:line="240" w:lineRule="auto"/>
            </w:pPr>
            <w:r>
              <w:rPr>
                <w:sz w:val="18"/>
              </w:rPr>
              <w:t>Trimestral</w:t>
            </w:r>
          </w:p>
        </w:tc>
        <w:tc>
          <w:tcPr>
            <w:tcW w:w="4009" w:type="dxa"/>
          </w:tcPr>
          <w:p w14:paraId="5BFC73F2" w14:textId="77777777" w:rsidR="00D67DE2" w:rsidRDefault="0075301B">
            <w:pPr>
              <w:spacing w:after="20" w:line="240" w:lineRule="auto"/>
            </w:pPr>
            <w:r>
              <w:rPr>
                <w:sz w:val="18"/>
              </w:rPr>
              <w:t>Calibrações e verificações em dia; registros coerentes; pessoal; guarda de amostras; comparação interlaboratorial</w:t>
            </w:r>
          </w:p>
        </w:tc>
      </w:tr>
      <w:tr w:rsidR="00D67DE2" w14:paraId="5823CFA5" w14:textId="77777777">
        <w:tc>
          <w:tcPr>
            <w:tcW w:w="1336" w:type="dxa"/>
          </w:tcPr>
          <w:p w14:paraId="2CBD39AD" w14:textId="77777777" w:rsidR="00D67DE2" w:rsidRDefault="0075301B">
            <w:pPr>
              <w:spacing w:after="20" w:line="240" w:lineRule="auto"/>
            </w:pPr>
            <w:r>
              <w:rPr>
                <w:sz w:val="18"/>
              </w:rPr>
              <w:t>Extraordinária</w:t>
            </w:r>
          </w:p>
        </w:tc>
        <w:tc>
          <w:tcPr>
            <w:tcW w:w="4009" w:type="dxa"/>
          </w:tcPr>
          <w:p w14:paraId="725A6A27" w14:textId="77777777" w:rsidR="00D67DE2" w:rsidRDefault="0075301B">
            <w:pPr>
              <w:spacing w:after="20" w:line="240" w:lineRule="auto"/>
            </w:pPr>
            <w:r>
              <w:rPr>
                <w:sz w:val="18"/>
              </w:rPr>
              <w:t>Divergência sistemática, RNC repetida imputável ao laboratório, suspeita de adulteração</w:t>
            </w:r>
          </w:p>
        </w:tc>
        <w:tc>
          <w:tcPr>
            <w:tcW w:w="4009" w:type="dxa"/>
          </w:tcPr>
          <w:p w14:paraId="11A73EE0" w14:textId="77777777" w:rsidR="00D67DE2" w:rsidRDefault="0075301B">
            <w:pPr>
              <w:spacing w:after="20" w:line="240" w:lineRule="auto"/>
            </w:pPr>
            <w:r>
              <w:rPr>
                <w:sz w:val="18"/>
              </w:rPr>
              <w:t>Reexecução de ensaio testemunhado; auditoria de registros e trilha; decisão de suspensão do laboratório ou do responsável técnico, conforme o contrato</w:t>
            </w:r>
          </w:p>
        </w:tc>
      </w:tr>
    </w:tbl>
    <w:p w14:paraId="70E1D696" w14:textId="77777777" w:rsidR="00D67DE2" w:rsidRDefault="00D67DE2">
      <w:pPr>
        <w:spacing w:after="40"/>
      </w:pPr>
    </w:p>
    <w:p w14:paraId="22F23D0B" w14:textId="77777777" w:rsidR="00D67DE2" w:rsidRDefault="0075301B">
      <w:pPr>
        <w:spacing w:after="120"/>
      </w:pPr>
      <w:r>
        <w:t>Laboratório suspenso não produz resultado de aceitação até nova diligência de qualificação.</w:t>
      </w:r>
    </w:p>
    <w:p w14:paraId="421C8EE9" w14:textId="77777777" w:rsidR="00D67DE2" w:rsidRDefault="0075301B">
      <w:pPr>
        <w:pStyle w:val="Ttulo1"/>
        <w:spacing w:before="280" w:after="120"/>
      </w:pPr>
      <w:r>
        <w:rPr>
          <w:rFonts w:ascii="Calibri" w:eastAsia="Calibri" w:hAnsi="Calibri" w:cs="Calibri"/>
        </w:rPr>
        <w:t>8. Indicadores</w:t>
      </w:r>
    </w:p>
    <w:p w14:paraId="5CA35829" w14:textId="77777777" w:rsidR="00D67DE2" w:rsidRDefault="0075301B">
      <w:pPr>
        <w:spacing w:after="120"/>
      </w:pPr>
      <w:r>
        <w:t>Além do CT-08 (calibração vigente), o relatório mensal informa: equipamentos com verificação intermediária em dia; participação e resultado da comparação interlaboratorial; fichas de cálculo em uso por versão; diligências de laboratório realizadas sobre programadas (CT-11).</w:t>
      </w:r>
    </w:p>
    <w:sectPr w:rsidR="00D67DE2" w:rsidSect="00034616">
      <w:headerReference w:type="default" r:id="rId8"/>
      <w:footerReference w:type="default" r:id="rId9"/>
      <w:pgSz w:w="11906" w:h="16838"/>
      <w:pgMar w:top="2381" w:right="1134" w:bottom="1814" w:left="1417" w:header="794" w:footer="56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3DDFE3" w14:textId="77777777" w:rsidR="0075301B" w:rsidRDefault="0075301B">
      <w:pPr>
        <w:spacing w:after="0" w:line="240" w:lineRule="auto"/>
      </w:pPr>
      <w:r>
        <w:separator/>
      </w:r>
    </w:p>
  </w:endnote>
  <w:endnote w:type="continuationSeparator" w:id="0">
    <w:p w14:paraId="7213CCF9" w14:textId="77777777" w:rsidR="0075301B" w:rsidRDefault="0075301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4A0" w:firstRow="1" w:lastRow="0" w:firstColumn="1" w:lastColumn="0" w:noHBand="0" w:noVBand="1"/>
    </w:tblPr>
    <w:tblGrid>
      <w:gridCol w:w="7937"/>
      <w:gridCol w:w="1417"/>
    </w:tblGrid>
    <w:tr w:rsidR="00D67DE2" w14:paraId="6363DCB2" w14:textId="77777777">
      <w:tc>
        <w:tcPr>
          <w:tcW w:w="7937" w:type="dxa"/>
          <w:tcBorders>
            <w:bottom w:val="single" w:sz="12" w:space="0" w:color="F5BA00"/>
          </w:tcBorders>
        </w:tcPr>
        <w:p w14:paraId="3133AD1F" w14:textId="77777777" w:rsidR="00D67DE2" w:rsidRDefault="00D67DE2">
          <w:pPr>
            <w:spacing w:after="0" w:line="40" w:lineRule="exact"/>
          </w:pPr>
        </w:p>
      </w:tc>
      <w:tc>
        <w:tcPr>
          <w:tcW w:w="1417" w:type="dxa"/>
          <w:tcBorders>
            <w:bottom w:val="single" w:sz="12" w:space="0" w:color="064B63"/>
          </w:tcBorders>
        </w:tcPr>
        <w:p w14:paraId="2685503C" w14:textId="77777777" w:rsidR="00D67DE2" w:rsidRDefault="00D67DE2">
          <w:pPr>
            <w:spacing w:after="0" w:line="40" w:lineRule="exact"/>
          </w:pPr>
        </w:p>
      </w:tc>
    </w:tr>
  </w:tbl>
  <w:p w14:paraId="09167CC6" w14:textId="77777777" w:rsidR="00D67DE2" w:rsidRDefault="0075301B">
    <w:pPr>
      <w:spacing w:after="0"/>
    </w:pPr>
    <w:r>
      <w:rPr>
        <w:color w:val="617177"/>
        <w:sz w:val="15"/>
      </w:rPr>
      <w:t>Concessionária 116 Sertões S.A. · CNPJ 68.576.407/0001-03 · Concessão Rota dos Sertões · BR-116/PE/BA e BR-324/BA</w:t>
    </w:r>
  </w:p>
  <w:p w14:paraId="3EBD5ED1" w14:textId="77777777" w:rsidR="00D67DE2" w:rsidRDefault="0075301B">
    <w:pPr>
      <w:spacing w:after="0"/>
    </w:pPr>
    <w:r>
      <w:rPr>
        <w:color w:val="617177"/>
        <w:sz w:val="15"/>
      </w:rPr>
      <w:t>Alameda Salvador, 1057 · Torre América, sala 1115 · Salvador/BA</w:t>
    </w:r>
  </w:p>
  <w:p w14:paraId="01EB5C2F" w14:textId="77777777" w:rsidR="00D67DE2" w:rsidRDefault="0075301B">
    <w:pPr>
      <w:spacing w:after="0"/>
      <w:jc w:val="right"/>
    </w:pPr>
    <w:r>
      <w:rPr>
        <w:color w:val="617177"/>
        <w:sz w:val="15"/>
      </w:rPr>
      <w:fldChar w:fldCharType="begin"/>
    </w:r>
    <w:r>
      <w:rPr>
        <w:color w:val="617177"/>
        <w:sz w:val="15"/>
      </w:rPr>
      <w:instrText>PAGE</w:instrText>
    </w:r>
    <w:r>
      <w:rPr>
        <w:color w:val="617177"/>
        <w:sz w:val="15"/>
      </w:rPr>
      <w:fldChar w:fldCharType="separate"/>
    </w:r>
    <w:r>
      <w:rPr>
        <w:color w:val="617177"/>
        <w:sz w:val="15"/>
      </w:rPr>
      <w:t>1</w:t>
    </w:r>
    <w:r>
      <w:rPr>
        <w:color w:val="617177"/>
        <w:sz w:val="15"/>
      </w:rPr>
      <w:fldChar w:fldCharType="end"/>
    </w:r>
    <w:r>
      <w:rPr>
        <w:color w:val="617177"/>
        <w:sz w:val="15"/>
      </w:rPr>
      <w:t xml:space="preserve"> de </w:t>
    </w:r>
    <w:r>
      <w:rPr>
        <w:color w:val="617177"/>
        <w:sz w:val="15"/>
      </w:rPr>
      <w:fldChar w:fldCharType="begin"/>
    </w:r>
    <w:r>
      <w:rPr>
        <w:color w:val="617177"/>
        <w:sz w:val="15"/>
      </w:rPr>
      <w:instrText>NUMPAGES</w:instrText>
    </w:r>
    <w:r>
      <w:rPr>
        <w:color w:val="617177"/>
        <w:sz w:val="15"/>
      </w:rPr>
      <w:fldChar w:fldCharType="separate"/>
    </w:r>
    <w:r>
      <w:rPr>
        <w:color w:val="617177"/>
        <w:sz w:val="15"/>
      </w:rPr>
      <w:t>1</w:t>
    </w:r>
    <w:r>
      <w:rPr>
        <w:color w:val="617177"/>
        <w:sz w:val="15"/>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DBF9E6" w14:textId="77777777" w:rsidR="0075301B" w:rsidRDefault="0075301B">
      <w:pPr>
        <w:spacing w:after="0" w:line="240" w:lineRule="auto"/>
      </w:pPr>
      <w:r>
        <w:separator/>
      </w:r>
    </w:p>
  </w:footnote>
  <w:footnote w:type="continuationSeparator" w:id="0">
    <w:p w14:paraId="65E3F91F" w14:textId="77777777" w:rsidR="0075301B" w:rsidRDefault="0075301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562C24" w14:textId="77777777" w:rsidR="00D67DE2" w:rsidRDefault="0075301B">
    <w:r>
      <w:rPr>
        <w:noProof/>
      </w:rPr>
      <w:drawing>
        <wp:inline distT="0" distB="0" distL="0" distR="0" wp14:anchorId="16A2979E" wp14:editId="769F544C">
          <wp:extent cx="1872000" cy="50193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horizontal_cor.png"/>
                  <pic:cNvPicPr/>
                </pic:nvPicPr>
                <pic:blipFill>
                  <a:blip r:embed="rId1"/>
                  <a:stretch>
                    <a:fillRect/>
                  </a:stretch>
                </pic:blipFill>
                <pic:spPr>
                  <a:xfrm>
                    <a:off x="0" y="0"/>
                    <a:ext cx="1872000" cy="50193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umerada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umerada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Commarcador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Commarcador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umerad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Commarcadores"/>
      <w:lvlText w:val=""/>
      <w:lvlJc w:val="left"/>
      <w:pPr>
        <w:tabs>
          <w:tab w:val="num" w:pos="360"/>
        </w:tabs>
        <w:ind w:left="360" w:hanging="360"/>
      </w:pPr>
      <w:rPr>
        <w:rFonts w:ascii="Symbol" w:hAnsi="Symbol" w:hint="default"/>
      </w:rPr>
    </w:lvl>
  </w:abstractNum>
  <w:num w:numId="1" w16cid:durableId="2054884374">
    <w:abstractNumId w:val="8"/>
  </w:num>
  <w:num w:numId="2" w16cid:durableId="118691576">
    <w:abstractNumId w:val="6"/>
  </w:num>
  <w:num w:numId="3" w16cid:durableId="1130325134">
    <w:abstractNumId w:val="5"/>
  </w:num>
  <w:num w:numId="4" w16cid:durableId="63072255">
    <w:abstractNumId w:val="4"/>
  </w:num>
  <w:num w:numId="5" w16cid:durableId="1490905306">
    <w:abstractNumId w:val="7"/>
  </w:num>
  <w:num w:numId="6" w16cid:durableId="520432582">
    <w:abstractNumId w:val="3"/>
  </w:num>
  <w:num w:numId="7" w16cid:durableId="1168063077">
    <w:abstractNumId w:val="2"/>
  </w:num>
  <w:num w:numId="8" w16cid:durableId="1875120162">
    <w:abstractNumId w:val="1"/>
  </w:num>
  <w:num w:numId="9" w16cid:durableId="9177153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05BC5"/>
    <w:rsid w:val="0075301B"/>
    <w:rsid w:val="00AA1D8D"/>
    <w:rsid w:val="00B47730"/>
    <w:rsid w:val="00CB0664"/>
    <w:rsid w:val="00D67DE2"/>
    <w:rsid w:val="00FC693F"/>
    <w:rsid w:val="00FE3B2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663D92DE"/>
  <w14:defaultImageDpi w14:val="300"/>
  <w15:docId w15:val="{CAFD5102-AEB6-42E9-92AA-2C9584A028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line="300" w:lineRule="auto"/>
    </w:pPr>
    <w:rPr>
      <w:rFonts w:ascii="Calibri" w:eastAsia="Calibri" w:hAnsi="Calibri" w:cs="Calibri"/>
      <w:color w:val="064B63"/>
    </w:rPr>
  </w:style>
  <w:style w:type="paragraph" w:styleId="Ttulo1">
    <w:name w:val="heading 1"/>
    <w:basedOn w:val="Normal"/>
    <w:next w:val="Normal"/>
    <w:link w:val="Ttulo1Char"/>
    <w:uiPriority w:val="9"/>
    <w:qFormat/>
    <w:rsid w:val="00FC693F"/>
    <w:pPr>
      <w:keepNext/>
      <w:keepLines/>
      <w:spacing w:before="480" w:after="0"/>
      <w:outlineLvl w:val="0"/>
    </w:pPr>
    <w:rPr>
      <w:rFonts w:asciiTheme="majorHAnsi" w:eastAsiaTheme="majorEastAsia" w:hAnsiTheme="majorHAnsi" w:cstheme="majorBidi"/>
      <w:b/>
      <w:bCs/>
      <w:sz w:val="28"/>
      <w:szCs w:val="28"/>
    </w:rPr>
  </w:style>
  <w:style w:type="paragraph" w:styleId="Ttulo2">
    <w:name w:val="heading 2"/>
    <w:basedOn w:val="Normal"/>
    <w:next w:val="Normal"/>
    <w:link w:val="Ttulo2Char"/>
    <w:uiPriority w:val="9"/>
    <w:unhideWhenUsed/>
    <w:qFormat/>
    <w:rsid w:val="00FC693F"/>
    <w:pPr>
      <w:keepNext/>
      <w:keepLines/>
      <w:spacing w:before="200" w:after="0"/>
      <w:outlineLvl w:val="1"/>
    </w:pPr>
    <w:rPr>
      <w:rFonts w:asciiTheme="majorHAnsi" w:eastAsiaTheme="majorEastAsia" w:hAnsiTheme="majorHAnsi" w:cstheme="majorBidi"/>
      <w:b/>
      <w:bCs/>
      <w:sz w:val="24"/>
      <w:szCs w:val="26"/>
    </w:rPr>
  </w:style>
  <w:style w:type="paragraph" w:styleId="Ttulo3">
    <w:name w:val="heading 3"/>
    <w:basedOn w:val="Normal"/>
    <w:next w:val="Normal"/>
    <w:link w:val="Ttulo3Char"/>
    <w:uiPriority w:val="9"/>
    <w:unhideWhenUsed/>
    <w:qFormat/>
    <w:rsid w:val="00FC693F"/>
    <w:pPr>
      <w:keepNext/>
      <w:keepLines/>
      <w:spacing w:before="200" w:after="0"/>
      <w:outlineLvl w:val="2"/>
    </w:pPr>
    <w:rPr>
      <w:rFonts w:asciiTheme="majorHAnsi" w:eastAsiaTheme="majorEastAsia" w:hAnsiTheme="majorHAnsi" w:cstheme="majorBidi"/>
      <w:b/>
      <w:bCs/>
    </w:rPr>
  </w:style>
  <w:style w:type="paragraph" w:styleId="Ttulo4">
    <w:name w:val="heading 4"/>
    <w:basedOn w:val="Normal"/>
    <w:next w:val="Normal"/>
    <w:link w:val="Ttulo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E618BF"/>
    <w:pPr>
      <w:tabs>
        <w:tab w:val="center" w:pos="4680"/>
        <w:tab w:val="right" w:pos="9360"/>
      </w:tabs>
      <w:spacing w:after="0" w:line="240" w:lineRule="auto"/>
    </w:pPr>
  </w:style>
  <w:style w:type="character" w:customStyle="1" w:styleId="CabealhoChar">
    <w:name w:val="Cabeçalho Char"/>
    <w:basedOn w:val="Fontepargpadro"/>
    <w:link w:val="Cabealho"/>
    <w:uiPriority w:val="99"/>
    <w:rsid w:val="00E618BF"/>
  </w:style>
  <w:style w:type="paragraph" w:styleId="Rodap">
    <w:name w:val="footer"/>
    <w:basedOn w:val="Normal"/>
    <w:link w:val="RodapChar"/>
    <w:uiPriority w:val="99"/>
    <w:unhideWhenUsed/>
    <w:rsid w:val="00E618BF"/>
    <w:pPr>
      <w:tabs>
        <w:tab w:val="center" w:pos="4680"/>
        <w:tab w:val="right" w:pos="9360"/>
      </w:tabs>
      <w:spacing w:after="0" w:line="240" w:lineRule="auto"/>
    </w:pPr>
  </w:style>
  <w:style w:type="character" w:customStyle="1" w:styleId="RodapChar">
    <w:name w:val="Rodapé Char"/>
    <w:basedOn w:val="Fontepargpadro"/>
    <w:link w:val="Rodap"/>
    <w:uiPriority w:val="99"/>
    <w:rsid w:val="00E618BF"/>
  </w:style>
  <w:style w:type="paragraph" w:styleId="SemEspaamento">
    <w:name w:val="No Spacing"/>
    <w:uiPriority w:val="1"/>
    <w:qFormat/>
    <w:rsid w:val="00FC693F"/>
    <w:pPr>
      <w:spacing w:after="0" w:line="240" w:lineRule="auto"/>
    </w:pPr>
  </w:style>
  <w:style w:type="character" w:customStyle="1" w:styleId="Ttulo1Char">
    <w:name w:val="Título 1 Char"/>
    <w:basedOn w:val="Fontepargpadro"/>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har">
    <w:name w:val="Título 2 Char"/>
    <w:basedOn w:val="Fontepargpadro"/>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har">
    <w:name w:val="Título 3 Char"/>
    <w:basedOn w:val="Fontepargpadro"/>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har">
    <w:name w:val="Título Char"/>
    <w:basedOn w:val="Fontepargpadro"/>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har">
    <w:name w:val="Subtítulo Char"/>
    <w:basedOn w:val="Fontepargpadro"/>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argrafodaLista">
    <w:name w:val="List Paragraph"/>
    <w:basedOn w:val="Normal"/>
    <w:uiPriority w:val="34"/>
    <w:qFormat/>
    <w:rsid w:val="00FC693F"/>
    <w:pPr>
      <w:ind w:left="720"/>
      <w:contextualSpacing/>
    </w:pPr>
  </w:style>
  <w:style w:type="paragraph" w:styleId="Corpodetexto">
    <w:name w:val="Body Text"/>
    <w:basedOn w:val="Normal"/>
    <w:link w:val="CorpodetextoChar"/>
    <w:uiPriority w:val="99"/>
    <w:unhideWhenUsed/>
    <w:rsid w:val="00AA1D8D"/>
    <w:pPr>
      <w:spacing w:after="120"/>
    </w:pPr>
  </w:style>
  <w:style w:type="character" w:customStyle="1" w:styleId="CorpodetextoChar">
    <w:name w:val="Corpo de texto Char"/>
    <w:basedOn w:val="Fontepargpadro"/>
    <w:link w:val="Corpodetexto"/>
    <w:uiPriority w:val="99"/>
    <w:rsid w:val="00AA1D8D"/>
  </w:style>
  <w:style w:type="paragraph" w:styleId="Corpodetexto2">
    <w:name w:val="Body Text 2"/>
    <w:basedOn w:val="Normal"/>
    <w:link w:val="Corpodetexto2Char"/>
    <w:uiPriority w:val="99"/>
    <w:unhideWhenUsed/>
    <w:rsid w:val="00AA1D8D"/>
    <w:pPr>
      <w:spacing w:after="120" w:line="480" w:lineRule="auto"/>
    </w:pPr>
  </w:style>
  <w:style w:type="character" w:customStyle="1" w:styleId="Corpodetexto2Char">
    <w:name w:val="Corpo de texto 2 Char"/>
    <w:basedOn w:val="Fontepargpadro"/>
    <w:link w:val="Corpodetexto2"/>
    <w:uiPriority w:val="99"/>
    <w:rsid w:val="00AA1D8D"/>
  </w:style>
  <w:style w:type="paragraph" w:styleId="Corpodetexto3">
    <w:name w:val="Body Text 3"/>
    <w:basedOn w:val="Normal"/>
    <w:link w:val="Corpodetexto3Char"/>
    <w:uiPriority w:val="99"/>
    <w:unhideWhenUsed/>
    <w:rsid w:val="00AA1D8D"/>
    <w:pPr>
      <w:spacing w:after="120"/>
    </w:pPr>
    <w:rPr>
      <w:sz w:val="16"/>
      <w:szCs w:val="16"/>
    </w:rPr>
  </w:style>
  <w:style w:type="character" w:customStyle="1" w:styleId="Corpodetexto3Char">
    <w:name w:val="Corpo de texto 3 Char"/>
    <w:basedOn w:val="Fontepargpadro"/>
    <w:link w:val="Corpodetexto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Commarcadores">
    <w:name w:val="List Bullet"/>
    <w:basedOn w:val="Normal"/>
    <w:uiPriority w:val="99"/>
    <w:unhideWhenUsed/>
    <w:rsid w:val="00326F90"/>
    <w:pPr>
      <w:numPr>
        <w:numId w:val="1"/>
      </w:numPr>
      <w:contextualSpacing/>
    </w:pPr>
  </w:style>
  <w:style w:type="paragraph" w:styleId="Commarcadores2">
    <w:name w:val="List Bullet 2"/>
    <w:basedOn w:val="Normal"/>
    <w:uiPriority w:val="99"/>
    <w:unhideWhenUsed/>
    <w:rsid w:val="00326F90"/>
    <w:pPr>
      <w:numPr>
        <w:numId w:val="2"/>
      </w:numPr>
      <w:contextualSpacing/>
    </w:pPr>
  </w:style>
  <w:style w:type="paragraph" w:styleId="Commarcadores3">
    <w:name w:val="List Bullet 3"/>
    <w:basedOn w:val="Normal"/>
    <w:uiPriority w:val="99"/>
    <w:unhideWhenUsed/>
    <w:rsid w:val="00326F90"/>
    <w:pPr>
      <w:numPr>
        <w:numId w:val="3"/>
      </w:numPr>
      <w:contextualSpacing/>
    </w:pPr>
  </w:style>
  <w:style w:type="paragraph" w:styleId="Numerada">
    <w:name w:val="List Number"/>
    <w:basedOn w:val="Normal"/>
    <w:uiPriority w:val="99"/>
    <w:unhideWhenUsed/>
    <w:rsid w:val="00326F90"/>
    <w:pPr>
      <w:numPr>
        <w:numId w:val="5"/>
      </w:numPr>
      <w:contextualSpacing/>
    </w:pPr>
  </w:style>
  <w:style w:type="paragraph" w:styleId="Numerada2">
    <w:name w:val="List Number 2"/>
    <w:basedOn w:val="Normal"/>
    <w:uiPriority w:val="99"/>
    <w:unhideWhenUsed/>
    <w:rsid w:val="0029639D"/>
    <w:pPr>
      <w:numPr>
        <w:numId w:val="6"/>
      </w:numPr>
      <w:contextualSpacing/>
    </w:pPr>
  </w:style>
  <w:style w:type="paragraph" w:styleId="Numerada3">
    <w:name w:val="List Number 3"/>
    <w:basedOn w:val="Normal"/>
    <w:uiPriority w:val="99"/>
    <w:unhideWhenUsed/>
    <w:rsid w:val="0029639D"/>
    <w:pPr>
      <w:numPr>
        <w:numId w:val="7"/>
      </w:numPr>
      <w:contextualSpacing/>
    </w:pPr>
  </w:style>
  <w:style w:type="paragraph" w:styleId="Listadecontinuao">
    <w:name w:val="List Continue"/>
    <w:basedOn w:val="Normal"/>
    <w:uiPriority w:val="99"/>
    <w:unhideWhenUsed/>
    <w:rsid w:val="0029639D"/>
    <w:pPr>
      <w:spacing w:after="120"/>
      <w:ind w:left="360"/>
      <w:contextualSpacing/>
    </w:pPr>
  </w:style>
  <w:style w:type="paragraph" w:styleId="Listadecontinuao2">
    <w:name w:val="List Continue 2"/>
    <w:basedOn w:val="Normal"/>
    <w:uiPriority w:val="99"/>
    <w:unhideWhenUsed/>
    <w:rsid w:val="0029639D"/>
    <w:pPr>
      <w:spacing w:after="120"/>
      <w:ind w:left="720"/>
      <w:contextualSpacing/>
    </w:pPr>
  </w:style>
  <w:style w:type="paragraph" w:styleId="Listadecontinuao3">
    <w:name w:val="List Continue 3"/>
    <w:basedOn w:val="Normal"/>
    <w:uiPriority w:val="99"/>
    <w:unhideWhenUsed/>
    <w:rsid w:val="0029639D"/>
    <w:pPr>
      <w:spacing w:after="120"/>
      <w:ind w:left="1080"/>
      <w:contextualSpacing/>
    </w:pPr>
  </w:style>
  <w:style w:type="paragraph" w:styleId="Textodemacro">
    <w:name w:val="macro"/>
    <w:link w:val="Textodemacro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demacroChar">
    <w:name w:val="Texto de macro Char"/>
    <w:basedOn w:val="Fontepargpadro"/>
    <w:link w:val="Textodemacro"/>
    <w:uiPriority w:val="99"/>
    <w:rsid w:val="0029639D"/>
    <w:rPr>
      <w:rFonts w:ascii="Courier" w:hAnsi="Courier"/>
      <w:sz w:val="20"/>
      <w:szCs w:val="20"/>
    </w:rPr>
  </w:style>
  <w:style w:type="paragraph" w:styleId="Citao">
    <w:name w:val="Quote"/>
    <w:basedOn w:val="Normal"/>
    <w:next w:val="Normal"/>
    <w:link w:val="CitaoChar"/>
    <w:uiPriority w:val="29"/>
    <w:qFormat/>
    <w:rsid w:val="00FC693F"/>
    <w:rPr>
      <w:i/>
      <w:iCs/>
      <w:color w:val="000000" w:themeColor="text1"/>
    </w:rPr>
  </w:style>
  <w:style w:type="character" w:customStyle="1" w:styleId="CitaoChar">
    <w:name w:val="Citação Char"/>
    <w:basedOn w:val="Fontepargpadro"/>
    <w:link w:val="Citao"/>
    <w:uiPriority w:val="29"/>
    <w:rsid w:val="00FC693F"/>
    <w:rPr>
      <w:i/>
      <w:iCs/>
      <w:color w:val="000000" w:themeColor="text1"/>
    </w:rPr>
  </w:style>
  <w:style w:type="character" w:customStyle="1" w:styleId="Ttulo4Char">
    <w:name w:val="Título 4 Char"/>
    <w:basedOn w:val="Fontepargpadro"/>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har">
    <w:name w:val="Título 5 Char"/>
    <w:basedOn w:val="Fontepargpadro"/>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har">
    <w:name w:val="Título 6 Char"/>
    <w:basedOn w:val="Fontepargpadro"/>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har">
    <w:name w:val="Título 7 Char"/>
    <w:basedOn w:val="Fontepargpadro"/>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har">
    <w:name w:val="Título 8 Char"/>
    <w:basedOn w:val="Fontepargpadro"/>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har">
    <w:name w:val="Título 9 Char"/>
    <w:basedOn w:val="Fontepargpadro"/>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Legenda">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orte">
    <w:name w:val="Strong"/>
    <w:basedOn w:val="Fontepargpadro"/>
    <w:uiPriority w:val="22"/>
    <w:qFormat/>
    <w:rsid w:val="00FC693F"/>
    <w:rPr>
      <w:b/>
      <w:bCs/>
    </w:rPr>
  </w:style>
  <w:style w:type="character" w:styleId="nfase">
    <w:name w:val="Emphasis"/>
    <w:basedOn w:val="Fontepargpadro"/>
    <w:uiPriority w:val="20"/>
    <w:qFormat/>
    <w:rsid w:val="00FC693F"/>
    <w:rPr>
      <w:i/>
      <w:iCs/>
    </w:rPr>
  </w:style>
  <w:style w:type="paragraph" w:styleId="CitaoIntensa">
    <w:name w:val="Intense Quote"/>
    <w:basedOn w:val="Normal"/>
    <w:next w:val="Normal"/>
    <w:link w:val="CitaoIntensa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oIntensaChar">
    <w:name w:val="Citação Intensa Char"/>
    <w:basedOn w:val="Fontepargpadro"/>
    <w:link w:val="CitaoIntensa"/>
    <w:uiPriority w:val="30"/>
    <w:rsid w:val="00FC693F"/>
    <w:rPr>
      <w:b/>
      <w:bCs/>
      <w:i/>
      <w:iCs/>
      <w:color w:val="4F81BD" w:themeColor="accent1"/>
    </w:rPr>
  </w:style>
  <w:style w:type="character" w:styleId="nfaseSutil">
    <w:name w:val="Subtle Emphasis"/>
    <w:basedOn w:val="Fontepargpadro"/>
    <w:uiPriority w:val="19"/>
    <w:qFormat/>
    <w:rsid w:val="00FC693F"/>
    <w:rPr>
      <w:i/>
      <w:iCs/>
      <w:color w:val="808080" w:themeColor="text1" w:themeTint="7F"/>
    </w:rPr>
  </w:style>
  <w:style w:type="character" w:styleId="nfaseIntensa">
    <w:name w:val="Intense Emphasis"/>
    <w:basedOn w:val="Fontepargpadro"/>
    <w:uiPriority w:val="21"/>
    <w:qFormat/>
    <w:rsid w:val="00FC693F"/>
    <w:rPr>
      <w:b/>
      <w:bCs/>
      <w:i/>
      <w:iCs/>
      <w:color w:val="4F81BD" w:themeColor="accent1"/>
    </w:rPr>
  </w:style>
  <w:style w:type="character" w:styleId="RefernciaSutil">
    <w:name w:val="Subtle Reference"/>
    <w:basedOn w:val="Fontepargpadro"/>
    <w:uiPriority w:val="31"/>
    <w:qFormat/>
    <w:rsid w:val="00FC693F"/>
    <w:rPr>
      <w:smallCaps/>
      <w:color w:val="C0504D" w:themeColor="accent2"/>
      <w:u w:val="single"/>
    </w:rPr>
  </w:style>
  <w:style w:type="character" w:styleId="RefernciaIntensa">
    <w:name w:val="Intense Reference"/>
    <w:basedOn w:val="Fontepargpadro"/>
    <w:uiPriority w:val="32"/>
    <w:qFormat/>
    <w:rsid w:val="00FC693F"/>
    <w:rPr>
      <w:b/>
      <w:bCs/>
      <w:smallCaps/>
      <w:color w:val="C0504D" w:themeColor="accent2"/>
      <w:spacing w:val="5"/>
      <w:u w:val="single"/>
    </w:rPr>
  </w:style>
  <w:style w:type="character" w:styleId="TtulodoLivro">
    <w:name w:val="Book Title"/>
    <w:basedOn w:val="Fontepargpadro"/>
    <w:uiPriority w:val="33"/>
    <w:qFormat/>
    <w:rsid w:val="00FC693F"/>
    <w:rPr>
      <w:b/>
      <w:bCs/>
      <w:smallCaps/>
      <w:spacing w:val="5"/>
    </w:rPr>
  </w:style>
  <w:style w:type="paragraph" w:styleId="CabealhodoSumrio">
    <w:name w:val="TOC Heading"/>
    <w:basedOn w:val="Ttulo1"/>
    <w:next w:val="Normal"/>
    <w:uiPriority w:val="39"/>
    <w:semiHidden/>
    <w:unhideWhenUsed/>
    <w:qFormat/>
    <w:rsid w:val="00FC693F"/>
    <w:pPr>
      <w:outlineLvl w:val="9"/>
    </w:pPr>
  </w:style>
  <w:style w:type="table" w:styleId="Tabelacomgrade">
    <w:name w:val="Table Grid"/>
    <w:basedOn w:val="Tabe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mentoClaro">
    <w:name w:val="Light Shading"/>
    <w:basedOn w:val="Tabe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mentoClaro-nfase1">
    <w:name w:val="Light Shading Accent 1"/>
    <w:basedOn w:val="Tabe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mentoClaro-nfase2">
    <w:name w:val="Light Shading Accent 2"/>
    <w:basedOn w:val="Tabe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mentoClaro-nfase3">
    <w:name w:val="Light Shading Accent 3"/>
    <w:basedOn w:val="Tabe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mentoClaro-nfase4">
    <w:name w:val="Light Shading Accent 4"/>
    <w:basedOn w:val="Tabe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mentoClaro-nfase5">
    <w:name w:val="Light Shading Accent 5"/>
    <w:basedOn w:val="Tabe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mentoClaro-nfase6">
    <w:name w:val="Light Shading Accent 6"/>
    <w:basedOn w:val="Tabe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e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e1">
    <w:name w:val="Light List Accent 1"/>
    <w:basedOn w:val="Tabe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e2">
    <w:name w:val="Light List Accent 2"/>
    <w:basedOn w:val="Tabe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e3">
    <w:name w:val="Light List Accent 3"/>
    <w:basedOn w:val="Tabe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e4">
    <w:name w:val="Light List Accent 4"/>
    <w:basedOn w:val="Tabe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e5">
    <w:name w:val="Light List Accent 5"/>
    <w:basedOn w:val="Tabe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e6">
    <w:name w:val="Light List Accent 6"/>
    <w:basedOn w:val="Tabe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adeClara">
    <w:name w:val="Light Grid"/>
    <w:basedOn w:val="Tabe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adeClara-nfase1">
    <w:name w:val="Light Grid Accent 1"/>
    <w:basedOn w:val="Tabe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adeClara-nfase2">
    <w:name w:val="Light Grid Accent 2"/>
    <w:basedOn w:val="Tabe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adeClara-nfase3">
    <w:name w:val="Light Grid Accent 3"/>
    <w:basedOn w:val="Tabe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adeClara-nfase4">
    <w:name w:val="Light Grid Accent 4"/>
    <w:basedOn w:val="Tabe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adeClara-nfase5">
    <w:name w:val="Light Grid Accent 5"/>
    <w:basedOn w:val="Tabe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adeClara-nfase6">
    <w:name w:val="Light Grid Accent 6"/>
    <w:basedOn w:val="Tabe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mentoMdio1">
    <w:name w:val="Medium Shading 1"/>
    <w:basedOn w:val="Tabe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mentoMdio1-nfase1">
    <w:name w:val="Medium Shading 1 Accent 1"/>
    <w:basedOn w:val="Tabe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mentoMdio1-nfase2">
    <w:name w:val="Medium Shading 1 Accent 2"/>
    <w:basedOn w:val="Tabe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mentoMdio1-nfase3">
    <w:name w:val="Medium Shading 1 Accent 3"/>
    <w:basedOn w:val="Tabe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mentoMdio1-nfase4">
    <w:name w:val="Medium Shading 1 Accent 4"/>
    <w:basedOn w:val="Tabe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mentoMdio1-nfase5">
    <w:name w:val="Medium Shading 1 Accent 5"/>
    <w:basedOn w:val="Tabe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mentoMdio1-nfase6">
    <w:name w:val="Medium Shading 1 Accent 6"/>
    <w:basedOn w:val="Tabe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mentoMdio2">
    <w:name w:val="Medium Shading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1">
    <w:name w:val="Medium Shading 2 Accent 1"/>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2">
    <w:name w:val="Medium Shading 2 Accent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3">
    <w:name w:val="Medium Shading 2 Accent 3"/>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4">
    <w:name w:val="Medium Shading 2 Accent 4"/>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5">
    <w:name w:val="Medium Shading 2 Accent 5"/>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6">
    <w:name w:val="Medium Shading 2 Accent 6"/>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dia1">
    <w:name w:val="Medium List 1"/>
    <w:basedOn w:val="Tabe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dia1-nfase1">
    <w:name w:val="Medium List 1 Accent 1"/>
    <w:basedOn w:val="Tabe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dia1-nfase2">
    <w:name w:val="Medium List 1 Accent 2"/>
    <w:basedOn w:val="Tabe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dia1-nfase3">
    <w:name w:val="Medium List 1 Accent 3"/>
    <w:basedOn w:val="Tabe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dia1-nfase4">
    <w:name w:val="Medium List 1 Accent 4"/>
    <w:basedOn w:val="Tabe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dia1-nfase5">
    <w:name w:val="Medium List 1 Accent 5"/>
    <w:basedOn w:val="Tabe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dia1-nfase6">
    <w:name w:val="Medium List 1 Accent 6"/>
    <w:basedOn w:val="Tabe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dia2">
    <w:name w:val="Medium Lis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1">
    <w:name w:val="Medium List 2 Accent 1"/>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2">
    <w:name w:val="Medium List 2 Accen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3">
    <w:name w:val="Medium List 2 Accent 3"/>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4">
    <w:name w:val="Medium List 2 Accent 4"/>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5">
    <w:name w:val="Medium List 2 Accent 5"/>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6">
    <w:name w:val="Medium List 2 Accent 6"/>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adeMdia1">
    <w:name w:val="Medium Grid 1"/>
    <w:basedOn w:val="Tabe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Mdia1-nfase1">
    <w:name w:val="Medium Grid 1 Accent 1"/>
    <w:basedOn w:val="Tabe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Mdia1-nfase2">
    <w:name w:val="Medium Grid 1 Accent 2"/>
    <w:basedOn w:val="Tabe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Mdia1-nfase3">
    <w:name w:val="Medium Grid 1 Accent 3"/>
    <w:basedOn w:val="Tabe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Mdia1-nfase4">
    <w:name w:val="Medium Grid 1 Accent 4"/>
    <w:basedOn w:val="Tabe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Mdia1-nfase5">
    <w:name w:val="Medium Grid 1 Accent 5"/>
    <w:basedOn w:val="Tabe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Mdia1-nfase6">
    <w:name w:val="Medium Grid 1 Accent 6"/>
    <w:basedOn w:val="Tabe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adeMdia2">
    <w:name w:val="Medium Grid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adeMdia2-nfase1">
    <w:name w:val="Medium Grid 2 Accent 1"/>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adeMdia2-nfase2">
    <w:name w:val="Medium Grid 2 Accent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adeMdia2-nfase3">
    <w:name w:val="Medium Grid 2 Accent 3"/>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adeMdia2-nfase4">
    <w:name w:val="Medium Grid 2 Accent 4"/>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adeMdia2-nfase5">
    <w:name w:val="Medium Grid 2 Accent 5"/>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adeMdia2-nfase6">
    <w:name w:val="Medium Grid 2 Accent 6"/>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adeMdia3">
    <w:name w:val="Medium Grid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adeMdia3-nfase1">
    <w:name w:val="Medium Grid 3 Accent 1"/>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adeMdia3-nfase2">
    <w:name w:val="Medium Grid 3 Accent 2"/>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adeMdia3-nfase3">
    <w:name w:val="Medium Grid 3 Accent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adeMdia3-nfase4">
    <w:name w:val="Medium Grid 3 Accent 4"/>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adeMdia3-nfase5">
    <w:name w:val="Medium Grid 3 Accent 5"/>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adeMdia3-nfase6">
    <w:name w:val="Medium Grid 3 Accent 6"/>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Escura">
    <w:name w:val="Dark List"/>
    <w:basedOn w:val="Tabe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Escura-nfase1">
    <w:name w:val="Dark List Accent 1"/>
    <w:basedOn w:val="Tabe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Escura-nfase2">
    <w:name w:val="Dark List Accent 2"/>
    <w:basedOn w:val="Tabe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Escura-nfase3">
    <w:name w:val="Dark List Accent 3"/>
    <w:basedOn w:val="Tabe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Escura-nfase4">
    <w:name w:val="Dark List Accent 4"/>
    <w:basedOn w:val="Tabe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Escura-nfase5">
    <w:name w:val="Dark List Accent 5"/>
    <w:basedOn w:val="Tabe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Escura-nfase6">
    <w:name w:val="Dark List Accent 6"/>
    <w:basedOn w:val="Tabe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mentoColorido">
    <w:name w:val="Colorful Shading"/>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mentoEscuro-nfase1">
    <w:name w:val="Colorful Shading Accent 1"/>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mentoColorido-nfase2">
    <w:name w:val="Colorful Shading Accent 2"/>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mentoColorido-nfase3">
    <w:name w:val="Colorful Shading Accent 3"/>
    <w:basedOn w:val="Tabe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mentoColorido-nfase4">
    <w:name w:val="Colorful Shading Accent 4"/>
    <w:basedOn w:val="Tabe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mentoColorido-nfase5">
    <w:name w:val="Colorful Shading Accent 5"/>
    <w:basedOn w:val="Tabe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mentoColorido-nfase6">
    <w:name w:val="Colorful Shading Accent 6"/>
    <w:basedOn w:val="Tabe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Colorida">
    <w:name w:val="Colorful List"/>
    <w:basedOn w:val="Tabe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Colorida-nfase1">
    <w:name w:val="Colorful List Accent 1"/>
    <w:basedOn w:val="Tabe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Colorida-nfase2">
    <w:name w:val="Colorful List Accent 2"/>
    <w:basedOn w:val="Tabe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Colorida-nfase3">
    <w:name w:val="Colorful List Accent 3"/>
    <w:basedOn w:val="Tabe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Colorida-nfase4">
    <w:name w:val="Colorful List Accent 4"/>
    <w:basedOn w:val="Tabe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Colorida-nfase5">
    <w:name w:val="Colorful List Accent 5"/>
    <w:basedOn w:val="Tabe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Colorida-nfase6">
    <w:name w:val="Colorful List Accent 6"/>
    <w:basedOn w:val="Tabe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adeColorida">
    <w:name w:val="Colorful Grid"/>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Colorida-nfase1">
    <w:name w:val="Colorful Grid Accent 1"/>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Colorida-nfase2">
    <w:name w:val="Colorful Grid Accent 2"/>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Colorida-nfase3">
    <w:name w:val="Colorful Grid Accent 3"/>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Colorida-nfase4">
    <w:name w:val="Colorful Grid Accent 4"/>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Colorida-nfase5">
    <w:name w:val="Colorful Grid Accent 5"/>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Colorida-nfase6">
    <w:name w:val="Colorful Grid Accent 6"/>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1242</Words>
  <Characters>7431</Characters>
  <Application>Microsoft Office Word</Application>
  <DocSecurity>0</DocSecurity>
  <Lines>250</Lines>
  <Paragraphs>123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8555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Qualificação de laboratórios e metrologia R00</dc:title>
  <dc:subject>Política de Controle Tecnológico de Obras</dc:subject>
  <dc:creator>Concessionária 116 Sertões S.A.</dc:creator>
  <cp:keywords>POL-CT-116-A9; R00; AP; controle tecnológico; Rota dos Sertões</cp:keywords>
  <dc:description>generated by python-docx</dc:description>
  <cp:lastModifiedBy>Danillo Oliveira</cp:lastModifiedBy>
  <cp:revision>2</cp:revision>
  <dcterms:created xsi:type="dcterms:W3CDTF">2013-12-23T23:15:00Z</dcterms:created>
  <dcterms:modified xsi:type="dcterms:W3CDTF">2026-10-21T18:20:00Z</dcterms:modified>
  <cp:category/>
  <cp:version>R00</cp:version>
</cp:coreProperties>
</file>