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01063" w14:textId="77777777" w:rsidR="007152E5" w:rsidRDefault="00F73C02">
      <w:r>
        <w:rPr>
          <w:b/>
          <w:color w:val="617177"/>
        </w:rPr>
        <w:t>ANEXO 2 DA POLÍTICA DE CONTROLE TECNOLÓGICO DE OBRAS</w:t>
      </w:r>
    </w:p>
    <w:p w14:paraId="04919EFA" w14:textId="77777777" w:rsidR="007152E5" w:rsidRDefault="00F73C02">
      <w:pPr>
        <w:spacing w:before="80"/>
      </w:pPr>
      <w:r>
        <w:rPr>
          <w:b/>
          <w:sz w:val="36"/>
        </w:rPr>
        <w:t>Não conformidade e pontos de parada</w:t>
      </w:r>
    </w:p>
    <w:p w14:paraId="618C9DC8" w14:textId="77777777" w:rsidR="007152E5" w:rsidRDefault="00F73C02">
      <w:pPr>
        <w:spacing w:before="160"/>
      </w:pPr>
      <w:r>
        <w:rPr>
          <w:color w:val="617177"/>
          <w:sz w:val="21"/>
        </w:rPr>
        <w:t>Código POL-CT-116-A2 · Revisão R00 · 17/10/2026 · Status AP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559"/>
        <w:gridCol w:w="1559"/>
        <w:gridCol w:w="1559"/>
        <w:gridCol w:w="4677"/>
      </w:tblGrid>
      <w:tr w:rsidR="007152E5" w14:paraId="2E046686" w14:textId="77777777">
        <w:trPr>
          <w:tblHeader/>
        </w:trPr>
        <w:tc>
          <w:tcPr>
            <w:tcW w:w="1559" w:type="dxa"/>
            <w:shd w:val="clear" w:color="auto" w:fill="F3F2ED"/>
          </w:tcPr>
          <w:p w14:paraId="6A8DEE00" w14:textId="77777777" w:rsidR="007152E5" w:rsidRDefault="00F73C02">
            <w:pPr>
              <w:spacing w:after="20" w:line="240" w:lineRule="auto"/>
            </w:pPr>
            <w:r>
              <w:rPr>
                <w:b/>
                <w:sz w:val="19"/>
              </w:rPr>
              <w:t>Rev.</w:t>
            </w:r>
          </w:p>
        </w:tc>
        <w:tc>
          <w:tcPr>
            <w:tcW w:w="1559" w:type="dxa"/>
            <w:shd w:val="clear" w:color="auto" w:fill="F3F2ED"/>
          </w:tcPr>
          <w:p w14:paraId="61F068DD" w14:textId="77777777" w:rsidR="007152E5" w:rsidRDefault="00F73C02">
            <w:pPr>
              <w:spacing w:after="20" w:line="240" w:lineRule="auto"/>
            </w:pPr>
            <w:r>
              <w:rPr>
                <w:b/>
                <w:sz w:val="19"/>
              </w:rPr>
              <w:t>Data</w:t>
            </w:r>
          </w:p>
        </w:tc>
        <w:tc>
          <w:tcPr>
            <w:tcW w:w="1559" w:type="dxa"/>
            <w:shd w:val="clear" w:color="auto" w:fill="F3F2ED"/>
          </w:tcPr>
          <w:p w14:paraId="5EF3D195" w14:textId="77777777" w:rsidR="007152E5" w:rsidRDefault="00F73C02">
            <w:pPr>
              <w:spacing w:after="20" w:line="240" w:lineRule="auto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w="4677" w:type="dxa"/>
            <w:shd w:val="clear" w:color="auto" w:fill="F3F2ED"/>
          </w:tcPr>
          <w:p w14:paraId="4ABC1F2A" w14:textId="77777777" w:rsidR="007152E5" w:rsidRDefault="00F73C02">
            <w:pPr>
              <w:spacing w:after="20" w:line="240" w:lineRule="auto"/>
            </w:pPr>
            <w:r>
              <w:rPr>
                <w:b/>
                <w:sz w:val="19"/>
              </w:rPr>
              <w:t>Descrição</w:t>
            </w:r>
          </w:p>
        </w:tc>
      </w:tr>
      <w:tr w:rsidR="007152E5" w14:paraId="5D7D331D" w14:textId="77777777">
        <w:tc>
          <w:tcPr>
            <w:tcW w:w="1559" w:type="dxa"/>
          </w:tcPr>
          <w:p w14:paraId="79DDFB77" w14:textId="77777777" w:rsidR="007152E5" w:rsidRDefault="00F73C02">
            <w:pPr>
              <w:spacing w:after="20" w:line="240" w:lineRule="auto"/>
            </w:pPr>
            <w:r>
              <w:rPr>
                <w:sz w:val="19"/>
              </w:rPr>
              <w:t>R00</w:t>
            </w:r>
          </w:p>
        </w:tc>
        <w:tc>
          <w:tcPr>
            <w:tcW w:w="1559" w:type="dxa"/>
          </w:tcPr>
          <w:p w14:paraId="54050DCC" w14:textId="77777777" w:rsidR="007152E5" w:rsidRDefault="00F73C02">
            <w:pPr>
              <w:spacing w:after="20" w:line="240" w:lineRule="auto"/>
            </w:pPr>
            <w:r>
              <w:rPr>
                <w:sz w:val="19"/>
              </w:rPr>
              <w:t>17/10/2026</w:t>
            </w:r>
          </w:p>
        </w:tc>
        <w:tc>
          <w:tcPr>
            <w:tcW w:w="1559" w:type="dxa"/>
          </w:tcPr>
          <w:p w14:paraId="60EF37D4" w14:textId="77777777" w:rsidR="007152E5" w:rsidRDefault="00F73C02">
            <w:pPr>
              <w:spacing w:after="20" w:line="240" w:lineRule="auto"/>
            </w:pPr>
            <w:r>
              <w:rPr>
                <w:sz w:val="19"/>
              </w:rPr>
              <w:t>AP</w:t>
            </w:r>
          </w:p>
        </w:tc>
        <w:tc>
          <w:tcPr>
            <w:tcW w:w="4677" w:type="dxa"/>
          </w:tcPr>
          <w:p w14:paraId="543DAF5C" w14:textId="77777777" w:rsidR="007152E5" w:rsidRDefault="00F73C02">
            <w:pPr>
              <w:spacing w:after="20" w:line="240" w:lineRule="auto"/>
            </w:pPr>
            <w:r>
              <w:rPr>
                <w:sz w:val="19"/>
              </w:rPr>
              <w:t>Emissão inicial, junto com a Política de Controle Tecnológico R00</w:t>
            </w:r>
          </w:p>
        </w:tc>
      </w:tr>
    </w:tbl>
    <w:p w14:paraId="271EBF72" w14:textId="77777777" w:rsidR="007152E5" w:rsidRDefault="007152E5">
      <w:pPr>
        <w:spacing w:after="40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7152E5" w14:paraId="6FDF3AE6" w14:textId="77777777">
        <w:trPr>
          <w:tblHeader/>
        </w:trPr>
        <w:tc>
          <w:tcPr>
            <w:tcW w:w="4677" w:type="dxa"/>
            <w:shd w:val="clear" w:color="auto" w:fill="F3F2ED"/>
          </w:tcPr>
          <w:p w14:paraId="61A33F12" w14:textId="77777777" w:rsidR="007152E5" w:rsidRDefault="00F73C02">
            <w:pPr>
              <w:spacing w:after="20" w:line="240" w:lineRule="auto"/>
            </w:pPr>
            <w:r>
              <w:rPr>
                <w:b/>
                <w:sz w:val="19"/>
              </w:rPr>
              <w:t>Elaboração</w:t>
            </w:r>
          </w:p>
        </w:tc>
        <w:tc>
          <w:tcPr>
            <w:tcW w:w="4677" w:type="dxa"/>
            <w:shd w:val="clear" w:color="auto" w:fill="F3F2ED"/>
          </w:tcPr>
          <w:p w14:paraId="4EB77A64" w14:textId="77777777" w:rsidR="007152E5" w:rsidRDefault="00F73C02">
            <w:pPr>
              <w:spacing w:after="20" w:line="240" w:lineRule="auto"/>
            </w:pPr>
            <w:r>
              <w:rPr>
                <w:b/>
                <w:sz w:val="19"/>
              </w:rPr>
              <w:t>Aprovação</w:t>
            </w:r>
          </w:p>
        </w:tc>
      </w:tr>
      <w:tr w:rsidR="007152E5" w14:paraId="34E1EF22" w14:textId="77777777">
        <w:tc>
          <w:tcPr>
            <w:tcW w:w="4677" w:type="dxa"/>
          </w:tcPr>
          <w:p w14:paraId="61E36AF6" w14:textId="77777777" w:rsidR="007152E5" w:rsidRDefault="00F73C02">
            <w:pPr>
              <w:spacing w:after="20" w:line="240" w:lineRule="auto"/>
            </w:pPr>
            <w:r>
              <w:rPr>
                <w:sz w:val="19"/>
              </w:rPr>
              <w:t>Coordenação de Pavimento e Monitoração</w:t>
            </w:r>
            <w:r>
              <w:br/>
            </w:r>
            <w:r>
              <w:rPr>
                <w:sz w:val="19"/>
              </w:rPr>
              <w:t>Assinatura/data: aprovado em 21/10/2026</w:t>
            </w:r>
          </w:p>
        </w:tc>
        <w:tc>
          <w:tcPr>
            <w:tcW w:w="4677" w:type="dxa"/>
          </w:tcPr>
          <w:p w14:paraId="6C8B3E4D" w14:textId="77777777" w:rsidR="007152E5" w:rsidRDefault="00F73C02">
            <w:pPr>
              <w:spacing w:after="20" w:line="240" w:lineRule="auto"/>
            </w:pPr>
            <w:r>
              <w:rPr>
                <w:sz w:val="19"/>
              </w:rPr>
              <w:t>Danillo Oliveira, Gerente de Engenharia e Qualidade</w:t>
            </w:r>
            <w:r>
              <w:br/>
            </w:r>
            <w:r>
              <w:rPr>
                <w:sz w:val="19"/>
              </w:rPr>
              <w:t>Assinatura/data: aprovado em 21/10/2026</w:t>
            </w:r>
          </w:p>
        </w:tc>
      </w:tr>
    </w:tbl>
    <w:p w14:paraId="5A9FB933" w14:textId="77777777" w:rsidR="007152E5" w:rsidRDefault="007152E5">
      <w:pPr>
        <w:spacing w:after="40"/>
      </w:pPr>
    </w:p>
    <w:p w14:paraId="3C90CF2A" w14:textId="77777777" w:rsidR="007152E5" w:rsidRDefault="007152E5"/>
    <w:p w14:paraId="1A685ED8" w14:textId="77777777" w:rsidR="007152E5" w:rsidRDefault="00F73C02">
      <w:pPr>
        <w:pStyle w:val="Ttulo1"/>
        <w:spacing w:before="280" w:after="120"/>
      </w:pPr>
      <w:r>
        <w:rPr>
          <w:rFonts w:ascii="Calibri" w:eastAsia="Calibri" w:hAnsi="Calibri" w:cs="Calibri"/>
        </w:rPr>
        <w:t>1. Objeto</w:t>
      </w:r>
    </w:p>
    <w:p w14:paraId="310B3D1E" w14:textId="77777777" w:rsidR="007152E5" w:rsidRDefault="00F73C02">
      <w:pPr>
        <w:spacing w:after="120"/>
      </w:pPr>
      <w:r>
        <w:t>Este anexo detalha a seção 10 (pontos de parada, testemunho e revisão documental) e a seção 11 (tratamento de não conformidade) da Política de Controle Tecnológico de Obras.</w:t>
      </w:r>
    </w:p>
    <w:p w14:paraId="173467AA" w14:textId="77777777" w:rsidR="007152E5" w:rsidRDefault="00F73C02">
      <w:pPr>
        <w:pStyle w:val="Ttulo1"/>
        <w:spacing w:before="280" w:after="120"/>
      </w:pPr>
      <w:r>
        <w:rPr>
          <w:rFonts w:ascii="Calibri" w:eastAsia="Calibri" w:hAnsi="Calibri" w:cs="Calibri"/>
        </w:rPr>
        <w:t>2. Classificação dos pontos de controle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35"/>
        <w:gridCol w:w="2806"/>
        <w:gridCol w:w="2806"/>
        <w:gridCol w:w="2806"/>
      </w:tblGrid>
      <w:tr w:rsidR="007152E5" w14:paraId="28B1E98A" w14:textId="77777777">
        <w:trPr>
          <w:tblHeader/>
        </w:trPr>
        <w:tc>
          <w:tcPr>
            <w:tcW w:w="935" w:type="dxa"/>
            <w:shd w:val="clear" w:color="auto" w:fill="F3F2ED"/>
          </w:tcPr>
          <w:p w14:paraId="5079AE56" w14:textId="77777777" w:rsidR="007152E5" w:rsidRDefault="00F73C02">
            <w:pPr>
              <w:spacing w:after="20" w:line="240" w:lineRule="auto"/>
            </w:pPr>
            <w:r>
              <w:rPr>
                <w:b/>
                <w:sz w:val="18"/>
              </w:rPr>
              <w:t>Ponto</w:t>
            </w:r>
          </w:p>
        </w:tc>
        <w:tc>
          <w:tcPr>
            <w:tcW w:w="2806" w:type="dxa"/>
            <w:shd w:val="clear" w:color="auto" w:fill="F3F2ED"/>
          </w:tcPr>
          <w:p w14:paraId="67220151" w14:textId="77777777" w:rsidR="007152E5" w:rsidRDefault="00F73C02">
            <w:pPr>
              <w:spacing w:after="20" w:line="240" w:lineRule="auto"/>
            </w:pPr>
            <w:r>
              <w:rPr>
                <w:b/>
                <w:sz w:val="18"/>
              </w:rPr>
              <w:t>Significado</w:t>
            </w:r>
          </w:p>
        </w:tc>
        <w:tc>
          <w:tcPr>
            <w:tcW w:w="2806" w:type="dxa"/>
            <w:shd w:val="clear" w:color="auto" w:fill="F3F2ED"/>
          </w:tcPr>
          <w:p w14:paraId="1E9965BB" w14:textId="77777777" w:rsidR="007152E5" w:rsidRDefault="00F73C02">
            <w:pPr>
              <w:spacing w:after="20" w:line="240" w:lineRule="auto"/>
            </w:pPr>
            <w:r>
              <w:rPr>
                <w:b/>
                <w:sz w:val="18"/>
              </w:rPr>
              <w:t>Quem libera ou presencia</w:t>
            </w:r>
          </w:p>
        </w:tc>
        <w:tc>
          <w:tcPr>
            <w:tcW w:w="2806" w:type="dxa"/>
            <w:shd w:val="clear" w:color="auto" w:fill="F3F2ED"/>
          </w:tcPr>
          <w:p w14:paraId="7DE08096" w14:textId="77777777" w:rsidR="007152E5" w:rsidRDefault="00F73C02">
            <w:pPr>
              <w:spacing w:after="20" w:line="240" w:lineRule="auto"/>
            </w:pPr>
            <w:r>
              <w:rPr>
                <w:b/>
                <w:sz w:val="18"/>
              </w:rPr>
              <w:t>Registro</w:t>
            </w:r>
          </w:p>
        </w:tc>
      </w:tr>
      <w:tr w:rsidR="007152E5" w14:paraId="1EFF98F6" w14:textId="77777777">
        <w:tc>
          <w:tcPr>
            <w:tcW w:w="935" w:type="dxa"/>
          </w:tcPr>
          <w:p w14:paraId="4C590E1A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  <w:tc>
          <w:tcPr>
            <w:tcW w:w="2806" w:type="dxa"/>
          </w:tcPr>
          <w:p w14:paraId="0F7ED36A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Parada obrigatória: a etapa seguinte depende de liberação formal</w:t>
            </w:r>
          </w:p>
        </w:tc>
        <w:tc>
          <w:tcPr>
            <w:tcW w:w="2806" w:type="dxa"/>
          </w:tcPr>
          <w:p w14:paraId="0F81466E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Fiscalização da Concessionária, com base no relatório de liberação do laboratório</w:t>
            </w:r>
          </w:p>
        </w:tc>
        <w:tc>
          <w:tcPr>
            <w:tcW w:w="2806" w:type="dxa"/>
          </w:tcPr>
          <w:p w14:paraId="6D7790EC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Registro de liberação assinado, com lote, resultados, limites e data</w:t>
            </w:r>
          </w:p>
        </w:tc>
      </w:tr>
      <w:tr w:rsidR="007152E5" w14:paraId="53B3E5C2" w14:textId="77777777">
        <w:tc>
          <w:tcPr>
            <w:tcW w:w="935" w:type="dxa"/>
          </w:tcPr>
          <w:p w14:paraId="4E9BC625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W</w:t>
            </w:r>
          </w:p>
        </w:tc>
        <w:tc>
          <w:tcPr>
            <w:tcW w:w="2806" w:type="dxa"/>
          </w:tcPr>
          <w:p w14:paraId="490D5CCC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Testemunho: a Fiscalização é avisada com 24 horas de antecedência e comparece ou dispensa por escrito</w:t>
            </w:r>
          </w:p>
        </w:tc>
        <w:tc>
          <w:tcPr>
            <w:tcW w:w="2806" w:type="dxa"/>
          </w:tcPr>
          <w:p w14:paraId="20ADD268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Fiscalização ou laboratório contratado por delegação na OS</w:t>
            </w:r>
          </w:p>
        </w:tc>
        <w:tc>
          <w:tcPr>
            <w:tcW w:w="2806" w:type="dxa"/>
          </w:tcPr>
          <w:p w14:paraId="476DA085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Diário de obra ou plataforma, com comparecimento ou dispensa</w:t>
            </w:r>
          </w:p>
        </w:tc>
      </w:tr>
      <w:tr w:rsidR="007152E5" w14:paraId="5FCEE507" w14:textId="77777777">
        <w:tc>
          <w:tcPr>
            <w:tcW w:w="935" w:type="dxa"/>
          </w:tcPr>
          <w:p w14:paraId="37821C58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  <w:tc>
          <w:tcPr>
            <w:tcW w:w="2806" w:type="dxa"/>
          </w:tcPr>
          <w:p w14:paraId="15861FC8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Revisão documental antes do uso do material ou da etapa</w:t>
            </w:r>
          </w:p>
        </w:tc>
        <w:tc>
          <w:tcPr>
            <w:tcW w:w="2806" w:type="dxa"/>
          </w:tcPr>
          <w:p w14:paraId="557DFDE4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Coordenação de Pavimento e Monitoração ou Fiscalização</w:t>
            </w:r>
          </w:p>
        </w:tc>
        <w:tc>
          <w:tcPr>
            <w:tcW w:w="2806" w:type="dxa"/>
          </w:tcPr>
          <w:p w14:paraId="5D82038B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Conferência registrada em até 2 dias úteis</w:t>
            </w:r>
          </w:p>
        </w:tc>
      </w:tr>
    </w:tbl>
    <w:p w14:paraId="1F352F36" w14:textId="77777777" w:rsidR="007152E5" w:rsidRDefault="007152E5">
      <w:pPr>
        <w:spacing w:after="40"/>
      </w:pPr>
    </w:p>
    <w:p w14:paraId="5660F326" w14:textId="77777777" w:rsidR="007152E5" w:rsidRDefault="00F73C02">
      <w:pPr>
        <w:pStyle w:val="Ttulo1"/>
        <w:spacing w:before="280" w:after="120"/>
      </w:pPr>
      <w:r>
        <w:rPr>
          <w:rFonts w:ascii="Calibri" w:eastAsia="Calibri" w:hAnsi="Calibri" w:cs="Calibri"/>
        </w:rPr>
        <w:t>3. Pontos H obrigatórios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7152E5" w14:paraId="00205B0D" w14:textId="77777777">
        <w:trPr>
          <w:tblHeader/>
        </w:trPr>
        <w:tc>
          <w:tcPr>
            <w:tcW w:w="4677" w:type="dxa"/>
            <w:shd w:val="clear" w:color="auto" w:fill="F3F2ED"/>
          </w:tcPr>
          <w:p w14:paraId="605CCC0C" w14:textId="77777777" w:rsidR="007152E5" w:rsidRDefault="00F73C02">
            <w:pPr>
              <w:spacing w:after="20" w:line="240" w:lineRule="auto"/>
            </w:pPr>
            <w:r>
              <w:rPr>
                <w:b/>
                <w:sz w:val="18"/>
              </w:rPr>
              <w:t>Etapa</w:t>
            </w:r>
          </w:p>
        </w:tc>
        <w:tc>
          <w:tcPr>
            <w:tcW w:w="4677" w:type="dxa"/>
            <w:shd w:val="clear" w:color="auto" w:fill="F3F2ED"/>
          </w:tcPr>
          <w:p w14:paraId="630CE0FE" w14:textId="77777777" w:rsidR="007152E5" w:rsidRDefault="00F73C02">
            <w:pPr>
              <w:spacing w:after="20" w:line="240" w:lineRule="auto"/>
            </w:pPr>
            <w:r>
              <w:rPr>
                <w:b/>
                <w:sz w:val="18"/>
              </w:rPr>
              <w:t>Condição para liberar</w:t>
            </w:r>
          </w:p>
        </w:tc>
      </w:tr>
      <w:tr w:rsidR="007152E5" w14:paraId="6BFB3273" w14:textId="77777777">
        <w:tc>
          <w:tcPr>
            <w:tcW w:w="4677" w:type="dxa"/>
          </w:tcPr>
          <w:p w14:paraId="7451AEFA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Subleito, antes da camada seguinte</w:t>
            </w:r>
          </w:p>
        </w:tc>
        <w:tc>
          <w:tcPr>
            <w:tcW w:w="4677" w:type="dxa"/>
          </w:tcPr>
          <w:p w14:paraId="7CB2A1EE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Grau de compactação, umidade e cota dentro do projeto; curva de referência vinculada ao material</w:t>
            </w:r>
          </w:p>
        </w:tc>
      </w:tr>
      <w:tr w:rsidR="007152E5" w14:paraId="1B6638E2" w14:textId="77777777">
        <w:tc>
          <w:tcPr>
            <w:tcW w:w="4677" w:type="dxa"/>
          </w:tcPr>
          <w:p w14:paraId="1ECB63E2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Cada camada granular (reforço, sub-base, base), antes do recobrimento</w:t>
            </w:r>
          </w:p>
        </w:tc>
        <w:tc>
          <w:tcPr>
            <w:tcW w:w="4677" w:type="dxa"/>
          </w:tcPr>
          <w:p w14:paraId="7BC3A38C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Granulometria, ISC e grau de compactação do lote conformes; espessura e cota conferidas</w:t>
            </w:r>
          </w:p>
        </w:tc>
      </w:tr>
      <w:tr w:rsidR="007152E5" w14:paraId="42260C25" w14:textId="77777777">
        <w:tc>
          <w:tcPr>
            <w:tcW w:w="4677" w:type="dxa"/>
          </w:tcPr>
          <w:p w14:paraId="3BA0F5DE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Camada asfáltica (binder e rolamento), antes do recobrimento ou da abertura ao tráfego</w:t>
            </w:r>
          </w:p>
        </w:tc>
        <w:tc>
          <w:tcPr>
            <w:tcW w:w="4677" w:type="dxa"/>
          </w:tcPr>
          <w:p w14:paraId="29050F3B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Teor de ligante, granulometria, grau de compactação, espessura e temperatura conformes; irregularidade e textura quando exigidas</w:t>
            </w:r>
          </w:p>
        </w:tc>
      </w:tr>
      <w:tr w:rsidR="007152E5" w14:paraId="74F7BFAC" w14:textId="77777777">
        <w:tc>
          <w:tcPr>
            <w:tcW w:w="4677" w:type="dxa"/>
          </w:tcPr>
          <w:p w14:paraId="48ACCCBF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Fôrma, armadura e fundação, antes da concretagem</w:t>
            </w:r>
          </w:p>
        </w:tc>
        <w:tc>
          <w:tcPr>
            <w:tcW w:w="4677" w:type="dxa"/>
          </w:tcPr>
          <w:p w14:paraId="2837850B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Inspeção registrada; cota, posição e cobrimento conformes; fundação com relatório de execução aceito</w:t>
            </w:r>
          </w:p>
        </w:tc>
      </w:tr>
      <w:tr w:rsidR="007152E5" w14:paraId="6F4CA137" w14:textId="77777777">
        <w:tc>
          <w:tcPr>
            <w:tcW w:w="4677" w:type="dxa"/>
          </w:tcPr>
          <w:p w14:paraId="5F813107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lastRenderedPageBreak/>
              <w:t>Desforma, protensão, carregamento e liberação de estrutura</w:t>
            </w:r>
          </w:p>
        </w:tc>
        <w:tc>
          <w:tcPr>
            <w:tcW w:w="4677" w:type="dxa"/>
          </w:tcPr>
          <w:p w14:paraId="7A42CA02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Resistência do concreto na idade prevista; resultado de ensaio, não estimativa</w:t>
            </w:r>
          </w:p>
        </w:tc>
      </w:tr>
      <w:tr w:rsidR="007152E5" w14:paraId="65F62103" w14:textId="77777777">
        <w:tc>
          <w:tcPr>
            <w:tcW w:w="4677" w:type="dxa"/>
          </w:tcPr>
          <w:p w14:paraId="69D1A9CC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Abertura de segmento ao tráfego</w:t>
            </w:r>
          </w:p>
        </w:tc>
        <w:tc>
          <w:tcPr>
            <w:tcW w:w="4677" w:type="dxa"/>
          </w:tcPr>
          <w:p w14:paraId="2B6BE9D3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Relatório de liberação do segmento, sinalização definitiva ou provisória conferida, autorização da Operação</w:t>
            </w:r>
          </w:p>
        </w:tc>
      </w:tr>
      <w:tr w:rsidR="007152E5" w14:paraId="6CE2F897" w14:textId="77777777">
        <w:tc>
          <w:tcPr>
            <w:tcW w:w="4677" w:type="dxa"/>
          </w:tcPr>
          <w:p w14:paraId="2E5D565E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Primeiro uso de fonte, usina, central ou traço</w:t>
            </w:r>
          </w:p>
        </w:tc>
        <w:tc>
          <w:tcPr>
            <w:tcW w:w="4677" w:type="dxa"/>
          </w:tcPr>
          <w:p w14:paraId="4DC72BAA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Diligência de qualificação e aprovação do traço registradas</w:t>
            </w:r>
          </w:p>
        </w:tc>
      </w:tr>
    </w:tbl>
    <w:p w14:paraId="5A679EE8" w14:textId="77777777" w:rsidR="007152E5" w:rsidRDefault="007152E5">
      <w:pPr>
        <w:spacing w:after="40"/>
      </w:pPr>
    </w:p>
    <w:p w14:paraId="54481368" w14:textId="77777777" w:rsidR="007152E5" w:rsidRDefault="00F73C02">
      <w:pPr>
        <w:spacing w:after="120"/>
      </w:pPr>
      <w:r>
        <w:t>Prazo de liberação: até 1 dia útil do recebimento do relatório completo na classe normal; até 4 horas úteis na classe prioritária. Liberação com resultado pendente exige autorização escrita da Gerência de Engenharia e Qualidade, registro da condição e contraprova coletada antes do recobrimento.</w:t>
      </w:r>
    </w:p>
    <w:p w14:paraId="6C1D508C" w14:textId="77777777" w:rsidR="007152E5" w:rsidRDefault="00F73C02">
      <w:pPr>
        <w:pStyle w:val="Ttulo1"/>
        <w:spacing w:before="280" w:after="120"/>
      </w:pPr>
      <w:r>
        <w:rPr>
          <w:rFonts w:ascii="Calibri" w:eastAsia="Calibri" w:hAnsi="Calibri" w:cs="Calibri"/>
        </w:rPr>
        <w:t>4. Fluxo do RNC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038"/>
        <w:gridCol w:w="2315"/>
        <w:gridCol w:w="2223"/>
        <w:gridCol w:w="2779"/>
      </w:tblGrid>
      <w:tr w:rsidR="007152E5" w14:paraId="5A250EFC" w14:textId="77777777">
        <w:trPr>
          <w:tblHeader/>
        </w:trPr>
        <w:tc>
          <w:tcPr>
            <w:tcW w:w="2038" w:type="dxa"/>
            <w:shd w:val="clear" w:color="auto" w:fill="F3F2ED"/>
          </w:tcPr>
          <w:p w14:paraId="3BA80DE9" w14:textId="77777777" w:rsidR="007152E5" w:rsidRDefault="00F73C02">
            <w:pPr>
              <w:spacing w:after="20" w:line="240" w:lineRule="auto"/>
            </w:pPr>
            <w:r>
              <w:rPr>
                <w:b/>
                <w:sz w:val="18"/>
              </w:rPr>
              <w:t>Etapa</w:t>
            </w:r>
          </w:p>
        </w:tc>
        <w:tc>
          <w:tcPr>
            <w:tcW w:w="2315" w:type="dxa"/>
            <w:shd w:val="clear" w:color="auto" w:fill="F3F2ED"/>
          </w:tcPr>
          <w:p w14:paraId="392A71A5" w14:textId="77777777" w:rsidR="007152E5" w:rsidRDefault="00F73C02">
            <w:pPr>
              <w:spacing w:after="20" w:line="240" w:lineRule="auto"/>
            </w:pPr>
            <w:r>
              <w:rPr>
                <w:b/>
                <w:sz w:val="18"/>
              </w:rPr>
              <w:t>Prazo</w:t>
            </w:r>
          </w:p>
        </w:tc>
        <w:tc>
          <w:tcPr>
            <w:tcW w:w="2223" w:type="dxa"/>
            <w:shd w:val="clear" w:color="auto" w:fill="F3F2ED"/>
          </w:tcPr>
          <w:p w14:paraId="2C56A427" w14:textId="77777777" w:rsidR="007152E5" w:rsidRDefault="00F73C02">
            <w:pPr>
              <w:spacing w:after="20" w:line="240" w:lineRule="auto"/>
            </w:pPr>
            <w:r>
              <w:rPr>
                <w:b/>
                <w:sz w:val="18"/>
              </w:rPr>
              <w:t>Responsável</w:t>
            </w:r>
          </w:p>
        </w:tc>
        <w:tc>
          <w:tcPr>
            <w:tcW w:w="2779" w:type="dxa"/>
            <w:shd w:val="clear" w:color="auto" w:fill="F3F2ED"/>
          </w:tcPr>
          <w:p w14:paraId="12E44483" w14:textId="77777777" w:rsidR="007152E5" w:rsidRDefault="00F73C02">
            <w:pPr>
              <w:spacing w:after="20" w:line="240" w:lineRule="auto"/>
            </w:pPr>
            <w:r>
              <w:rPr>
                <w:b/>
                <w:sz w:val="18"/>
              </w:rPr>
              <w:t>Registro</w:t>
            </w:r>
          </w:p>
        </w:tc>
      </w:tr>
      <w:tr w:rsidR="007152E5" w14:paraId="566A7B5A" w14:textId="77777777">
        <w:tc>
          <w:tcPr>
            <w:tcW w:w="2038" w:type="dxa"/>
          </w:tcPr>
          <w:p w14:paraId="5ABCB8A1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1. Detecção e abertura</w:t>
            </w:r>
          </w:p>
        </w:tc>
        <w:tc>
          <w:tcPr>
            <w:tcW w:w="2315" w:type="dxa"/>
          </w:tcPr>
          <w:p w14:paraId="1503E596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Mesmo dia</w:t>
            </w:r>
          </w:p>
        </w:tc>
        <w:tc>
          <w:tcPr>
            <w:tcW w:w="2223" w:type="dxa"/>
          </w:tcPr>
          <w:p w14:paraId="518B70F3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Laboratório ou Fiscalização</w:t>
            </w:r>
          </w:p>
        </w:tc>
        <w:tc>
          <w:tcPr>
            <w:tcW w:w="2779" w:type="dxa"/>
          </w:tcPr>
          <w:p w14:paraId="6D7902BA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RNC com número, lote, evidência, método, limite, responsáveis, restrição</w:t>
            </w:r>
          </w:p>
        </w:tc>
      </w:tr>
      <w:tr w:rsidR="007152E5" w14:paraId="260074AA" w14:textId="77777777">
        <w:tc>
          <w:tcPr>
            <w:tcW w:w="2038" w:type="dxa"/>
          </w:tcPr>
          <w:p w14:paraId="4E0B072F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2. Comunicação à EXECUTORA</w:t>
            </w:r>
          </w:p>
        </w:tc>
        <w:tc>
          <w:tcPr>
            <w:tcW w:w="2315" w:type="dxa"/>
          </w:tcPr>
          <w:p w14:paraId="181F6799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Até 24 horas</w:t>
            </w:r>
          </w:p>
        </w:tc>
        <w:tc>
          <w:tcPr>
            <w:tcW w:w="2223" w:type="dxa"/>
          </w:tcPr>
          <w:p w14:paraId="07D6240A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Fiscalização</w:t>
            </w:r>
          </w:p>
        </w:tc>
        <w:tc>
          <w:tcPr>
            <w:tcW w:w="2779" w:type="dxa"/>
          </w:tcPr>
          <w:p w14:paraId="3D3143BD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Comunicação escrita; plataforma</w:t>
            </w:r>
          </w:p>
        </w:tc>
      </w:tr>
      <w:tr w:rsidR="007152E5" w14:paraId="3C965CEC" w14:textId="77777777">
        <w:tc>
          <w:tcPr>
            <w:tcW w:w="2038" w:type="dxa"/>
          </w:tcPr>
          <w:p w14:paraId="7A8870C6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3. Contenção</w:t>
            </w:r>
          </w:p>
        </w:tc>
        <w:tc>
          <w:tcPr>
            <w:tcW w:w="2315" w:type="dxa"/>
          </w:tcPr>
          <w:p w14:paraId="5F5B6605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Imediata</w:t>
            </w:r>
          </w:p>
        </w:tc>
        <w:tc>
          <w:tcPr>
            <w:tcW w:w="2223" w:type="dxa"/>
          </w:tcPr>
          <w:p w14:paraId="5065C507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Fiscalização e Operação</w:t>
            </w:r>
          </w:p>
        </w:tc>
        <w:tc>
          <w:tcPr>
            <w:tcW w:w="2779" w:type="dxa"/>
          </w:tcPr>
          <w:p w14:paraId="6B447701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Bloqueio do lote, carga, usina ou frente; segregação; interrupção da etapa dependente</w:t>
            </w:r>
          </w:p>
        </w:tc>
      </w:tr>
      <w:tr w:rsidR="007152E5" w14:paraId="03A5676B" w14:textId="77777777">
        <w:tc>
          <w:tcPr>
            <w:tcW w:w="2038" w:type="dxa"/>
          </w:tcPr>
          <w:p w14:paraId="6F779170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4. Análise de causa e proposta de ação</w:t>
            </w:r>
          </w:p>
        </w:tc>
        <w:tc>
          <w:tcPr>
            <w:tcW w:w="2315" w:type="dxa"/>
          </w:tcPr>
          <w:p w14:paraId="59136F5F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5 dias úteis; 2 dias úteis se crítica</w:t>
            </w:r>
          </w:p>
        </w:tc>
        <w:tc>
          <w:tcPr>
            <w:tcW w:w="2223" w:type="dxa"/>
          </w:tcPr>
          <w:p w14:paraId="59A468C0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EXECUTORA, com parecer do laboratório contratado</w:t>
            </w:r>
          </w:p>
        </w:tc>
        <w:tc>
          <w:tcPr>
            <w:tcW w:w="2779" w:type="dxa"/>
          </w:tcPr>
          <w:p w14:paraId="13537468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Causa, ação de correção, ação sobre o processo, prazo, responsável</w:t>
            </w:r>
          </w:p>
        </w:tc>
      </w:tr>
      <w:tr w:rsidR="007152E5" w14:paraId="1DB89A4C" w14:textId="77777777">
        <w:tc>
          <w:tcPr>
            <w:tcW w:w="2038" w:type="dxa"/>
          </w:tcPr>
          <w:p w14:paraId="7B7D18BC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5. Decisão sobre a ação e disposição do lote</w:t>
            </w:r>
          </w:p>
        </w:tc>
        <w:tc>
          <w:tcPr>
            <w:tcW w:w="2315" w:type="dxa"/>
          </w:tcPr>
          <w:p w14:paraId="092ACC3A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3 dias úteis</w:t>
            </w:r>
          </w:p>
        </w:tc>
        <w:tc>
          <w:tcPr>
            <w:tcW w:w="2223" w:type="dxa"/>
          </w:tcPr>
          <w:p w14:paraId="49E97E26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Gerência de Engenharia e Qualidade</w:t>
            </w:r>
          </w:p>
        </w:tc>
        <w:tc>
          <w:tcPr>
            <w:tcW w:w="2779" w:type="dxa"/>
          </w:tcPr>
          <w:p w14:paraId="1D9950AC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Uso como está, retrabalho, reclassificação ou rejeição; fundamento</w:t>
            </w:r>
          </w:p>
        </w:tc>
      </w:tr>
      <w:tr w:rsidR="007152E5" w14:paraId="48CD4F5A" w14:textId="77777777">
        <w:tc>
          <w:tcPr>
            <w:tcW w:w="2038" w:type="dxa"/>
          </w:tcPr>
          <w:p w14:paraId="4E0417D8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6. Execução da correção</w:t>
            </w:r>
          </w:p>
        </w:tc>
        <w:tc>
          <w:tcPr>
            <w:tcW w:w="2315" w:type="dxa"/>
          </w:tcPr>
          <w:p w14:paraId="0E13A931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Prazo da decisão</w:t>
            </w:r>
          </w:p>
        </w:tc>
        <w:tc>
          <w:tcPr>
            <w:tcW w:w="2223" w:type="dxa"/>
          </w:tcPr>
          <w:p w14:paraId="234E699C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EXECUTORA</w:t>
            </w:r>
          </w:p>
        </w:tc>
        <w:tc>
          <w:tcPr>
            <w:tcW w:w="2779" w:type="dxa"/>
          </w:tcPr>
          <w:p w14:paraId="123650FA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Registro no diário de obra; evidências</w:t>
            </w:r>
          </w:p>
        </w:tc>
      </w:tr>
      <w:tr w:rsidR="007152E5" w14:paraId="5E122E13" w14:textId="77777777">
        <w:tc>
          <w:tcPr>
            <w:tcW w:w="2038" w:type="dxa"/>
          </w:tcPr>
          <w:p w14:paraId="076A02F2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7. Verificação de eficácia</w:t>
            </w:r>
          </w:p>
        </w:tc>
        <w:tc>
          <w:tcPr>
            <w:tcW w:w="2315" w:type="dxa"/>
          </w:tcPr>
          <w:p w14:paraId="08FFA9D3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Resultado em 5 dias úteis da conclusão da correção</w:t>
            </w:r>
          </w:p>
        </w:tc>
        <w:tc>
          <w:tcPr>
            <w:tcW w:w="2223" w:type="dxa"/>
          </w:tcPr>
          <w:p w14:paraId="5322C810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Laboratório contratado, por OS</w:t>
            </w:r>
          </w:p>
        </w:tc>
        <w:tc>
          <w:tcPr>
            <w:tcW w:w="2779" w:type="dxa"/>
          </w:tcPr>
          <w:p w14:paraId="7861E16E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Ensaio ou inspeção; laudo</w:t>
            </w:r>
          </w:p>
        </w:tc>
      </w:tr>
      <w:tr w:rsidR="007152E5" w14:paraId="62D0B5E2" w14:textId="77777777">
        <w:tc>
          <w:tcPr>
            <w:tcW w:w="2038" w:type="dxa"/>
          </w:tcPr>
          <w:p w14:paraId="7A7E6524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8. Parecer de eficácia e encerramento</w:t>
            </w:r>
          </w:p>
        </w:tc>
        <w:tc>
          <w:tcPr>
            <w:tcW w:w="2315" w:type="dxa"/>
          </w:tcPr>
          <w:p w14:paraId="5DFB18E7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10 dias úteis da conclusão da correção</w:t>
            </w:r>
          </w:p>
        </w:tc>
        <w:tc>
          <w:tcPr>
            <w:tcW w:w="2223" w:type="dxa"/>
          </w:tcPr>
          <w:p w14:paraId="04F73575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Coordenação de Pavimento e Monitoração</w:t>
            </w:r>
          </w:p>
        </w:tc>
        <w:tc>
          <w:tcPr>
            <w:tcW w:w="2779" w:type="dxa"/>
          </w:tcPr>
          <w:p w14:paraId="1ACA6D52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Parecer assinado; estado Encerrado</w:t>
            </w:r>
          </w:p>
        </w:tc>
      </w:tr>
      <w:tr w:rsidR="007152E5" w14:paraId="33E1B65E" w14:textId="77777777">
        <w:tc>
          <w:tcPr>
            <w:tcW w:w="2038" w:type="dxa"/>
          </w:tcPr>
          <w:p w14:paraId="7BDE89CC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Prazo total de referência</w:t>
            </w:r>
          </w:p>
        </w:tc>
        <w:tc>
          <w:tcPr>
            <w:tcW w:w="2315" w:type="dxa"/>
          </w:tcPr>
          <w:p w14:paraId="23594A20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30 dias corridos da abertura</w:t>
            </w:r>
          </w:p>
        </w:tc>
        <w:tc>
          <w:tcPr>
            <w:tcW w:w="2223" w:type="dxa"/>
          </w:tcPr>
          <w:p w14:paraId="337D8092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Indicador mensal</w:t>
            </w:r>
          </w:p>
        </w:tc>
        <w:tc>
          <w:tcPr>
            <w:tcW w:w="2779" w:type="dxa"/>
          </w:tcPr>
          <w:p w14:paraId="70BA3DCC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Exceção: idade de ensaio ou janela operacional</w:t>
            </w:r>
          </w:p>
        </w:tc>
      </w:tr>
    </w:tbl>
    <w:p w14:paraId="751E0658" w14:textId="77777777" w:rsidR="007152E5" w:rsidRDefault="007152E5">
      <w:pPr>
        <w:spacing w:after="40"/>
      </w:pPr>
    </w:p>
    <w:p w14:paraId="1BE641C7" w14:textId="77777777" w:rsidR="007152E5" w:rsidRDefault="00F73C02">
      <w:pPr>
        <w:pStyle w:val="Ttulo1"/>
        <w:spacing w:before="280" w:after="120"/>
      </w:pPr>
      <w:r>
        <w:rPr>
          <w:rFonts w:ascii="Calibri" w:eastAsia="Calibri" w:hAnsi="Calibri" w:cs="Calibri"/>
        </w:rPr>
        <w:t>5. Classificação do RNC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336"/>
        <w:gridCol w:w="4009"/>
        <w:gridCol w:w="4009"/>
      </w:tblGrid>
      <w:tr w:rsidR="007152E5" w14:paraId="42B1CB83" w14:textId="77777777">
        <w:trPr>
          <w:tblHeader/>
        </w:trPr>
        <w:tc>
          <w:tcPr>
            <w:tcW w:w="1336" w:type="dxa"/>
            <w:shd w:val="clear" w:color="auto" w:fill="F3F2ED"/>
          </w:tcPr>
          <w:p w14:paraId="6B7620AB" w14:textId="77777777" w:rsidR="007152E5" w:rsidRDefault="00F73C02">
            <w:pPr>
              <w:spacing w:after="20" w:line="240" w:lineRule="auto"/>
            </w:pPr>
            <w:r>
              <w:rPr>
                <w:b/>
                <w:sz w:val="18"/>
              </w:rPr>
              <w:t>Classe</w:t>
            </w:r>
          </w:p>
        </w:tc>
        <w:tc>
          <w:tcPr>
            <w:tcW w:w="4009" w:type="dxa"/>
            <w:shd w:val="clear" w:color="auto" w:fill="F3F2ED"/>
          </w:tcPr>
          <w:p w14:paraId="2DD034DC" w14:textId="77777777" w:rsidR="007152E5" w:rsidRDefault="00F73C02">
            <w:pPr>
              <w:spacing w:after="20" w:line="240" w:lineRule="auto"/>
            </w:pPr>
            <w:r>
              <w:rPr>
                <w:b/>
                <w:sz w:val="18"/>
              </w:rPr>
              <w:t>Critério</w:t>
            </w:r>
          </w:p>
        </w:tc>
        <w:tc>
          <w:tcPr>
            <w:tcW w:w="4009" w:type="dxa"/>
            <w:shd w:val="clear" w:color="auto" w:fill="F3F2ED"/>
          </w:tcPr>
          <w:p w14:paraId="2788B5C3" w14:textId="77777777" w:rsidR="007152E5" w:rsidRDefault="00F73C02">
            <w:pPr>
              <w:spacing w:after="20" w:line="240" w:lineRule="auto"/>
            </w:pPr>
            <w:r>
              <w:rPr>
                <w:b/>
                <w:sz w:val="18"/>
              </w:rPr>
              <w:t>Efeito</w:t>
            </w:r>
          </w:p>
        </w:tc>
      </w:tr>
      <w:tr w:rsidR="007152E5" w14:paraId="69F16E88" w14:textId="77777777">
        <w:tc>
          <w:tcPr>
            <w:tcW w:w="1336" w:type="dxa"/>
          </w:tcPr>
          <w:p w14:paraId="39D939FB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Crítica</w:t>
            </w:r>
          </w:p>
        </w:tc>
        <w:tc>
          <w:tcPr>
            <w:tcW w:w="4009" w:type="dxa"/>
          </w:tcPr>
          <w:p w14:paraId="5D922068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Risco à segurança do usuário ou do trabalhador; comprometimento estrutural; parâmetro de desempenho do PER</w:t>
            </w:r>
          </w:p>
        </w:tc>
        <w:tc>
          <w:tcPr>
            <w:tcW w:w="4009" w:type="dxa"/>
          </w:tcPr>
          <w:p w14:paraId="49F227E6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Comunicação imediata à Gerência e à Operação; análise de causa em 2 dias úteis; diligência extraordinária quando a causa for de processo</w:t>
            </w:r>
          </w:p>
        </w:tc>
      </w:tr>
      <w:tr w:rsidR="007152E5" w14:paraId="346BDCE4" w14:textId="77777777">
        <w:tc>
          <w:tcPr>
            <w:tcW w:w="1336" w:type="dxa"/>
          </w:tcPr>
          <w:p w14:paraId="6E2A3849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Maior</w:t>
            </w:r>
          </w:p>
        </w:tc>
        <w:tc>
          <w:tcPr>
            <w:tcW w:w="4009" w:type="dxa"/>
          </w:tcPr>
          <w:p w14:paraId="64BE4366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Material ou serviço fora da especificação que exige correção antes da etapa seguinte</w:t>
            </w:r>
          </w:p>
        </w:tc>
        <w:tc>
          <w:tcPr>
            <w:tcW w:w="4009" w:type="dxa"/>
          </w:tcPr>
          <w:p w14:paraId="722C9C0F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Fluxo padrão; bloqueio do lote</w:t>
            </w:r>
          </w:p>
        </w:tc>
      </w:tr>
      <w:tr w:rsidR="007152E5" w14:paraId="3572C7C1" w14:textId="77777777">
        <w:tc>
          <w:tcPr>
            <w:tcW w:w="1336" w:type="dxa"/>
          </w:tcPr>
          <w:p w14:paraId="2905F0F8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Menor</w:t>
            </w:r>
          </w:p>
        </w:tc>
        <w:tc>
          <w:tcPr>
            <w:tcW w:w="4009" w:type="dxa"/>
          </w:tcPr>
          <w:p w14:paraId="63FA2146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Desvio de registro, documento ou procedimento sem efeito na conformidade do material</w:t>
            </w:r>
          </w:p>
        </w:tc>
        <w:tc>
          <w:tcPr>
            <w:tcW w:w="4009" w:type="dxa"/>
          </w:tcPr>
          <w:p w14:paraId="0DDB69B4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Correção documental; sem bloqueio; acompanhamento na próxima diligência</w:t>
            </w:r>
          </w:p>
        </w:tc>
      </w:tr>
    </w:tbl>
    <w:p w14:paraId="0F65F4C8" w14:textId="77777777" w:rsidR="007152E5" w:rsidRDefault="007152E5">
      <w:pPr>
        <w:spacing w:after="40"/>
      </w:pPr>
    </w:p>
    <w:p w14:paraId="556C62F0" w14:textId="77777777" w:rsidR="007152E5" w:rsidRDefault="00F73C02">
      <w:pPr>
        <w:spacing w:after="120"/>
      </w:pPr>
      <w:r>
        <w:lastRenderedPageBreak/>
        <w:t>RNC repetida: mesma causa em 3 ocorrências no mesmo trimestre. Exige análise de causa raiz com a EXECUTORA, revisão do PCT e diligência extraordinária.</w:t>
      </w:r>
    </w:p>
    <w:p w14:paraId="3A1C7990" w14:textId="77777777" w:rsidR="007152E5" w:rsidRDefault="00F73C02">
      <w:pPr>
        <w:pStyle w:val="Ttulo1"/>
        <w:spacing w:before="280" w:after="120"/>
      </w:pPr>
      <w:r>
        <w:rPr>
          <w:rFonts w:ascii="Calibri" w:eastAsia="Calibri" w:hAnsi="Calibri" w:cs="Calibri"/>
        </w:rPr>
        <w:t>6. Disposição do lote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627"/>
        <w:gridCol w:w="4881"/>
        <w:gridCol w:w="2847"/>
      </w:tblGrid>
      <w:tr w:rsidR="007152E5" w14:paraId="12DD95F2" w14:textId="77777777">
        <w:trPr>
          <w:tblHeader/>
        </w:trPr>
        <w:tc>
          <w:tcPr>
            <w:tcW w:w="1627" w:type="dxa"/>
            <w:shd w:val="clear" w:color="auto" w:fill="F3F2ED"/>
          </w:tcPr>
          <w:p w14:paraId="7170641F" w14:textId="77777777" w:rsidR="007152E5" w:rsidRDefault="00F73C02">
            <w:pPr>
              <w:spacing w:after="20" w:line="240" w:lineRule="auto"/>
            </w:pPr>
            <w:r>
              <w:rPr>
                <w:b/>
                <w:sz w:val="18"/>
              </w:rPr>
              <w:t>Disposição</w:t>
            </w:r>
          </w:p>
        </w:tc>
        <w:tc>
          <w:tcPr>
            <w:tcW w:w="4881" w:type="dxa"/>
            <w:shd w:val="clear" w:color="auto" w:fill="F3F2ED"/>
          </w:tcPr>
          <w:p w14:paraId="7FBDFF28" w14:textId="77777777" w:rsidR="007152E5" w:rsidRDefault="00F73C02">
            <w:pPr>
              <w:spacing w:after="20" w:line="240" w:lineRule="auto"/>
            </w:pPr>
            <w:r>
              <w:rPr>
                <w:b/>
                <w:sz w:val="18"/>
              </w:rPr>
              <w:t>Condição</w:t>
            </w:r>
          </w:p>
        </w:tc>
        <w:tc>
          <w:tcPr>
            <w:tcW w:w="2847" w:type="dxa"/>
            <w:shd w:val="clear" w:color="auto" w:fill="F3F2ED"/>
          </w:tcPr>
          <w:p w14:paraId="36F29226" w14:textId="77777777" w:rsidR="007152E5" w:rsidRDefault="00F73C02">
            <w:pPr>
              <w:spacing w:after="20" w:line="240" w:lineRule="auto"/>
            </w:pPr>
            <w:r>
              <w:rPr>
                <w:b/>
                <w:sz w:val="18"/>
              </w:rPr>
              <w:t>Responsável pela decisão</w:t>
            </w:r>
          </w:p>
        </w:tc>
      </w:tr>
      <w:tr w:rsidR="007152E5" w14:paraId="48143AE1" w14:textId="77777777">
        <w:tc>
          <w:tcPr>
            <w:tcW w:w="1627" w:type="dxa"/>
          </w:tcPr>
          <w:p w14:paraId="59CE2C18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Uso como está</w:t>
            </w:r>
          </w:p>
        </w:tc>
        <w:tc>
          <w:tcPr>
            <w:tcW w:w="4881" w:type="dxa"/>
          </w:tcPr>
          <w:p w14:paraId="557E83FC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Justificativa técnica do projetista ou do responsável técnico demonstrando que a função é atendida; registro de ART quando exigível</w:t>
            </w:r>
          </w:p>
        </w:tc>
        <w:tc>
          <w:tcPr>
            <w:tcW w:w="2847" w:type="dxa"/>
          </w:tcPr>
          <w:p w14:paraId="719A50A2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Gerência de Engenharia e Qualidade</w:t>
            </w:r>
          </w:p>
        </w:tc>
      </w:tr>
      <w:tr w:rsidR="007152E5" w14:paraId="27C60097" w14:textId="77777777">
        <w:tc>
          <w:tcPr>
            <w:tcW w:w="1627" w:type="dxa"/>
          </w:tcPr>
          <w:p w14:paraId="4B23B675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Retrabalho</w:t>
            </w:r>
          </w:p>
        </w:tc>
        <w:tc>
          <w:tcPr>
            <w:tcW w:w="4881" w:type="dxa"/>
          </w:tcPr>
          <w:p w14:paraId="341B95D9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Correção que recoloca o lote dentro da especificação; nova verificação por ensaio</w:t>
            </w:r>
          </w:p>
        </w:tc>
        <w:tc>
          <w:tcPr>
            <w:tcW w:w="2847" w:type="dxa"/>
          </w:tcPr>
          <w:p w14:paraId="21507C87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Gerência, com proposta da EXECUTORA</w:t>
            </w:r>
          </w:p>
        </w:tc>
      </w:tr>
      <w:tr w:rsidR="007152E5" w14:paraId="64CB3CE8" w14:textId="77777777">
        <w:tc>
          <w:tcPr>
            <w:tcW w:w="1627" w:type="dxa"/>
          </w:tcPr>
          <w:p w14:paraId="72116783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Reclassificação</w:t>
            </w:r>
          </w:p>
        </w:tc>
        <w:tc>
          <w:tcPr>
            <w:tcW w:w="4881" w:type="dxa"/>
          </w:tcPr>
          <w:p w14:paraId="20BCF172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Uso em aplicação de menor exigência, com nova aceitação</w:t>
            </w:r>
          </w:p>
        </w:tc>
        <w:tc>
          <w:tcPr>
            <w:tcW w:w="2847" w:type="dxa"/>
          </w:tcPr>
          <w:p w14:paraId="0B8768C6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Gerência</w:t>
            </w:r>
          </w:p>
        </w:tc>
      </w:tr>
      <w:tr w:rsidR="007152E5" w14:paraId="765BC581" w14:textId="77777777">
        <w:tc>
          <w:tcPr>
            <w:tcW w:w="1627" w:type="dxa"/>
          </w:tcPr>
          <w:p w14:paraId="63EC8D56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Rejeição e remoção</w:t>
            </w:r>
          </w:p>
        </w:tc>
        <w:tc>
          <w:tcPr>
            <w:tcW w:w="4881" w:type="dxa"/>
          </w:tcPr>
          <w:p w14:paraId="04F6FC28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Lote sem condição de uso; remoção às custas da EXECUTORA; lote não medido</w:t>
            </w:r>
          </w:p>
        </w:tc>
        <w:tc>
          <w:tcPr>
            <w:tcW w:w="2847" w:type="dxa"/>
          </w:tcPr>
          <w:p w14:paraId="12342AD4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Gerência</w:t>
            </w:r>
          </w:p>
        </w:tc>
      </w:tr>
    </w:tbl>
    <w:p w14:paraId="39B4D26F" w14:textId="77777777" w:rsidR="007152E5" w:rsidRDefault="007152E5">
      <w:pPr>
        <w:spacing w:after="40"/>
      </w:pPr>
    </w:p>
    <w:p w14:paraId="68F9CDCE" w14:textId="77777777" w:rsidR="007152E5" w:rsidRDefault="00F73C02">
      <w:pPr>
        <w:pStyle w:val="Ttulo1"/>
        <w:spacing w:before="280" w:after="120"/>
      </w:pPr>
      <w:r>
        <w:rPr>
          <w:rFonts w:ascii="Calibri" w:eastAsia="Calibri" w:hAnsi="Calibri" w:cs="Calibri"/>
        </w:rPr>
        <w:t>7. Modelo de registro de não conformidade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339"/>
        <w:gridCol w:w="7016"/>
      </w:tblGrid>
      <w:tr w:rsidR="007152E5" w14:paraId="22E4DF1B" w14:textId="77777777">
        <w:trPr>
          <w:tblHeader/>
        </w:trPr>
        <w:tc>
          <w:tcPr>
            <w:tcW w:w="2339" w:type="dxa"/>
            <w:shd w:val="clear" w:color="auto" w:fill="F3F2ED"/>
          </w:tcPr>
          <w:p w14:paraId="52593DBD" w14:textId="77777777" w:rsidR="007152E5" w:rsidRDefault="00F73C02">
            <w:pPr>
              <w:spacing w:after="20" w:line="240" w:lineRule="auto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7016" w:type="dxa"/>
            <w:shd w:val="clear" w:color="auto" w:fill="F3F2ED"/>
          </w:tcPr>
          <w:p w14:paraId="44A256B3" w14:textId="77777777" w:rsidR="007152E5" w:rsidRDefault="00F73C02">
            <w:pPr>
              <w:spacing w:after="20" w:line="240" w:lineRule="auto"/>
            </w:pPr>
            <w:r>
              <w:rPr>
                <w:b/>
                <w:sz w:val="18"/>
              </w:rPr>
              <w:t>Conteúdo</w:t>
            </w:r>
          </w:p>
        </w:tc>
      </w:tr>
      <w:tr w:rsidR="007152E5" w14:paraId="5350121A" w14:textId="77777777">
        <w:tc>
          <w:tcPr>
            <w:tcW w:w="2339" w:type="dxa"/>
          </w:tcPr>
          <w:p w14:paraId="414FCCA0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Número</w:t>
            </w:r>
          </w:p>
        </w:tc>
        <w:tc>
          <w:tcPr>
            <w:tcW w:w="7016" w:type="dxa"/>
          </w:tcPr>
          <w:p w14:paraId="2D69EA59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RNC-ZZ-AAAA-NNN (zona, ano, sequencial)</w:t>
            </w:r>
          </w:p>
        </w:tc>
      </w:tr>
      <w:tr w:rsidR="007152E5" w14:paraId="049E7FAE" w14:textId="77777777">
        <w:tc>
          <w:tcPr>
            <w:tcW w:w="2339" w:type="dxa"/>
          </w:tcPr>
          <w:p w14:paraId="41D34B02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Obra, OS, frente</w:t>
            </w:r>
          </w:p>
        </w:tc>
        <w:tc>
          <w:tcPr>
            <w:tcW w:w="7016" w:type="dxa"/>
          </w:tcPr>
          <w:p w14:paraId="61F16437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Identificação; zona; km do PER e km do SNV 202607A; coordenadas</w:t>
            </w:r>
          </w:p>
        </w:tc>
      </w:tr>
      <w:tr w:rsidR="007152E5" w14:paraId="51966C6F" w14:textId="77777777">
        <w:tc>
          <w:tcPr>
            <w:tcW w:w="2339" w:type="dxa"/>
          </w:tcPr>
          <w:p w14:paraId="4F94E6B0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Lote afetado</w:t>
            </w:r>
          </w:p>
        </w:tc>
        <w:tc>
          <w:tcPr>
            <w:tcW w:w="7016" w:type="dxa"/>
          </w:tcPr>
          <w:p w14:paraId="1E62DBC9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Material, camada ou elemento, trecho, data, processo, quantidade</w:t>
            </w:r>
          </w:p>
        </w:tc>
      </w:tr>
      <w:tr w:rsidR="007152E5" w14:paraId="1B7B18B0" w14:textId="77777777">
        <w:tc>
          <w:tcPr>
            <w:tcW w:w="2339" w:type="dxa"/>
          </w:tcPr>
          <w:p w14:paraId="12CAC3EE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Evidência</w:t>
            </w:r>
          </w:p>
        </w:tc>
        <w:tc>
          <w:tcPr>
            <w:tcW w:w="7016" w:type="dxa"/>
          </w:tcPr>
          <w:p w14:paraId="07CB40A1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Identificador das amostras; método; resultado; limite; laudo; fotografias</w:t>
            </w:r>
          </w:p>
        </w:tc>
      </w:tr>
      <w:tr w:rsidR="007152E5" w14:paraId="5F8A5432" w14:textId="77777777">
        <w:tc>
          <w:tcPr>
            <w:tcW w:w="2339" w:type="dxa"/>
          </w:tcPr>
          <w:p w14:paraId="5C6ED441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Classe</w:t>
            </w:r>
          </w:p>
        </w:tc>
        <w:tc>
          <w:tcPr>
            <w:tcW w:w="7016" w:type="dxa"/>
          </w:tcPr>
          <w:p w14:paraId="22D1A3EC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Crítica, maior ou menor</w:t>
            </w:r>
          </w:p>
        </w:tc>
      </w:tr>
      <w:tr w:rsidR="007152E5" w14:paraId="587EF519" w14:textId="77777777">
        <w:tc>
          <w:tcPr>
            <w:tcW w:w="2339" w:type="dxa"/>
          </w:tcPr>
          <w:p w14:paraId="58CCFC98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Contenção</w:t>
            </w:r>
          </w:p>
        </w:tc>
        <w:tc>
          <w:tcPr>
            <w:tcW w:w="7016" w:type="dxa"/>
          </w:tcPr>
          <w:p w14:paraId="4B034BC7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Medida adotada, data, responsável</w:t>
            </w:r>
          </w:p>
        </w:tc>
      </w:tr>
      <w:tr w:rsidR="007152E5" w14:paraId="54060E3B" w14:textId="77777777">
        <w:tc>
          <w:tcPr>
            <w:tcW w:w="2339" w:type="dxa"/>
          </w:tcPr>
          <w:p w14:paraId="198D97D3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Causa</w:t>
            </w:r>
          </w:p>
        </w:tc>
        <w:tc>
          <w:tcPr>
            <w:tcW w:w="7016" w:type="dxa"/>
          </w:tcPr>
          <w:p w14:paraId="68064806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Análise da EXECUTORA; parecer do laboratório</w:t>
            </w:r>
          </w:p>
        </w:tc>
      </w:tr>
      <w:tr w:rsidR="007152E5" w14:paraId="21B5731C" w14:textId="77777777">
        <w:tc>
          <w:tcPr>
            <w:tcW w:w="2339" w:type="dxa"/>
          </w:tcPr>
          <w:p w14:paraId="075CD789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Ação</w:t>
            </w:r>
          </w:p>
        </w:tc>
        <w:tc>
          <w:tcPr>
            <w:tcW w:w="7016" w:type="dxa"/>
          </w:tcPr>
          <w:p w14:paraId="0FC55E0B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Correção e ação sobre o processo; prazo; responsável</w:t>
            </w:r>
          </w:p>
        </w:tc>
      </w:tr>
      <w:tr w:rsidR="007152E5" w14:paraId="66DA8F81" w14:textId="77777777">
        <w:tc>
          <w:tcPr>
            <w:tcW w:w="2339" w:type="dxa"/>
          </w:tcPr>
          <w:p w14:paraId="490DCBF8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Disposição</w:t>
            </w:r>
          </w:p>
        </w:tc>
        <w:tc>
          <w:tcPr>
            <w:tcW w:w="7016" w:type="dxa"/>
          </w:tcPr>
          <w:p w14:paraId="3156B7EB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Uma das quatro; fundamento; decisor; data</w:t>
            </w:r>
          </w:p>
        </w:tc>
      </w:tr>
      <w:tr w:rsidR="007152E5" w14:paraId="3F9BF194" w14:textId="77777777">
        <w:tc>
          <w:tcPr>
            <w:tcW w:w="2339" w:type="dxa"/>
          </w:tcPr>
          <w:p w14:paraId="69C03F99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Eficácia</w:t>
            </w:r>
          </w:p>
        </w:tc>
        <w:tc>
          <w:tcPr>
            <w:tcW w:w="7016" w:type="dxa"/>
          </w:tcPr>
          <w:p w14:paraId="0F54B477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Ensaio ou inspeção; resultado; laudo</w:t>
            </w:r>
          </w:p>
        </w:tc>
      </w:tr>
      <w:tr w:rsidR="007152E5" w14:paraId="50B5A050" w14:textId="77777777">
        <w:tc>
          <w:tcPr>
            <w:tcW w:w="2339" w:type="dxa"/>
          </w:tcPr>
          <w:p w14:paraId="5C8F8505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Encerramento</w:t>
            </w:r>
          </w:p>
        </w:tc>
        <w:tc>
          <w:tcPr>
            <w:tcW w:w="7016" w:type="dxa"/>
          </w:tcPr>
          <w:p w14:paraId="08EEEAE2" w14:textId="77777777" w:rsidR="007152E5" w:rsidRDefault="00F73C02">
            <w:pPr>
              <w:spacing w:after="20" w:line="240" w:lineRule="auto"/>
            </w:pPr>
            <w:r>
              <w:rPr>
                <w:sz w:val="18"/>
              </w:rPr>
              <w:t>Parecer; data; responsável</w:t>
            </w:r>
          </w:p>
        </w:tc>
      </w:tr>
    </w:tbl>
    <w:p w14:paraId="62D41073" w14:textId="77777777" w:rsidR="007152E5" w:rsidRDefault="007152E5">
      <w:pPr>
        <w:spacing w:after="40"/>
      </w:pPr>
    </w:p>
    <w:p w14:paraId="7C88017C" w14:textId="77777777" w:rsidR="007152E5" w:rsidRDefault="00F73C02">
      <w:pPr>
        <w:pStyle w:val="Ttulo1"/>
        <w:spacing w:before="280" w:after="120"/>
      </w:pPr>
      <w:r>
        <w:rPr>
          <w:rFonts w:ascii="Calibri" w:eastAsia="Calibri" w:hAnsi="Calibri" w:cs="Calibri"/>
        </w:rPr>
        <w:t>8. Custos</w:t>
      </w:r>
    </w:p>
    <w:p w14:paraId="08ADFFF7" w14:textId="77777777" w:rsidR="007152E5" w:rsidRDefault="00F73C02">
      <w:pPr>
        <w:spacing w:after="120"/>
      </w:pPr>
      <w:r>
        <w:t>Falha imputável ao laboratório é corrigida sem custo. Ensaio válido com resultado desfavorável é remunerado. Ensaio de verificação da correção é autorizado por OS e pago pelos itens contratuais; o custo é glosado da EXECUTORA quando o contrato de obra assim previr.</w:t>
      </w:r>
    </w:p>
    <w:sectPr w:rsidR="007152E5" w:rsidSect="00034616">
      <w:headerReference w:type="default" r:id="rId8"/>
      <w:footerReference w:type="default" r:id="rId9"/>
      <w:pgSz w:w="11906" w:h="16838"/>
      <w:pgMar w:top="2381" w:right="1134" w:bottom="1814" w:left="1417" w:header="79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0B9C3" w14:textId="77777777" w:rsidR="00F73C02" w:rsidRDefault="00F73C02">
      <w:pPr>
        <w:spacing w:after="0" w:line="240" w:lineRule="auto"/>
      </w:pPr>
      <w:r>
        <w:separator/>
      </w:r>
    </w:p>
  </w:endnote>
  <w:endnote w:type="continuationSeparator" w:id="0">
    <w:p w14:paraId="356C0B19" w14:textId="77777777" w:rsidR="00F73C02" w:rsidRDefault="00F73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7937"/>
      <w:gridCol w:w="1417"/>
    </w:tblGrid>
    <w:tr w:rsidR="007152E5" w14:paraId="35AEBCA3" w14:textId="77777777">
      <w:tc>
        <w:tcPr>
          <w:tcW w:w="7937" w:type="dxa"/>
          <w:tcBorders>
            <w:bottom w:val="single" w:sz="12" w:space="0" w:color="F5BA00"/>
          </w:tcBorders>
        </w:tcPr>
        <w:p w14:paraId="1FAE912A" w14:textId="77777777" w:rsidR="007152E5" w:rsidRDefault="007152E5">
          <w:pPr>
            <w:spacing w:after="0" w:line="40" w:lineRule="exact"/>
          </w:pPr>
        </w:p>
      </w:tc>
      <w:tc>
        <w:tcPr>
          <w:tcW w:w="1417" w:type="dxa"/>
          <w:tcBorders>
            <w:bottom w:val="single" w:sz="12" w:space="0" w:color="064B63"/>
          </w:tcBorders>
        </w:tcPr>
        <w:p w14:paraId="0703BE78" w14:textId="77777777" w:rsidR="007152E5" w:rsidRDefault="007152E5">
          <w:pPr>
            <w:spacing w:after="0" w:line="40" w:lineRule="exact"/>
          </w:pPr>
        </w:p>
      </w:tc>
    </w:tr>
  </w:tbl>
  <w:p w14:paraId="0B879827" w14:textId="77777777" w:rsidR="007152E5" w:rsidRDefault="00F73C02">
    <w:pPr>
      <w:spacing w:after="0"/>
    </w:pPr>
    <w:r>
      <w:rPr>
        <w:color w:val="617177"/>
        <w:sz w:val="15"/>
      </w:rPr>
      <w:t>Concessionária 116 Sertões S.A. · CNPJ 68.576.407/0001-03 · Concessão Rota dos Sertões · BR-116/PE/BA e BR-324/BA</w:t>
    </w:r>
  </w:p>
  <w:p w14:paraId="6BE4C8F6" w14:textId="77777777" w:rsidR="007152E5" w:rsidRDefault="00F73C02">
    <w:pPr>
      <w:spacing w:after="0"/>
    </w:pPr>
    <w:r>
      <w:rPr>
        <w:color w:val="617177"/>
        <w:sz w:val="15"/>
      </w:rPr>
      <w:t>Alameda Salvador, 1057 · Torre América, sala 1115 · Salvador/BA</w:t>
    </w:r>
  </w:p>
  <w:p w14:paraId="42FE796E" w14:textId="77777777" w:rsidR="007152E5" w:rsidRDefault="00F73C02">
    <w:pPr>
      <w:spacing w:after="0"/>
      <w:jc w:val="right"/>
    </w:pPr>
    <w:r>
      <w:rPr>
        <w:color w:val="617177"/>
        <w:sz w:val="15"/>
      </w:rPr>
      <w:fldChar w:fldCharType="begin"/>
    </w:r>
    <w:r>
      <w:rPr>
        <w:color w:val="617177"/>
        <w:sz w:val="15"/>
      </w:rPr>
      <w:instrText>PAGE</w:instrText>
    </w:r>
    <w:r>
      <w:rPr>
        <w:color w:val="617177"/>
        <w:sz w:val="15"/>
      </w:rPr>
      <w:fldChar w:fldCharType="separate"/>
    </w:r>
    <w:r>
      <w:rPr>
        <w:color w:val="617177"/>
        <w:sz w:val="15"/>
      </w:rPr>
      <w:t>1</w:t>
    </w:r>
    <w:r>
      <w:rPr>
        <w:color w:val="617177"/>
        <w:sz w:val="15"/>
      </w:rPr>
      <w:fldChar w:fldCharType="end"/>
    </w:r>
    <w:r>
      <w:rPr>
        <w:color w:val="617177"/>
        <w:sz w:val="15"/>
      </w:rPr>
      <w:t xml:space="preserve"> de </w:t>
    </w:r>
    <w:r>
      <w:rPr>
        <w:color w:val="617177"/>
        <w:sz w:val="15"/>
      </w:rPr>
      <w:fldChar w:fldCharType="begin"/>
    </w:r>
    <w:r>
      <w:rPr>
        <w:color w:val="617177"/>
        <w:sz w:val="15"/>
      </w:rPr>
      <w:instrText>NUMPAGES</w:instrText>
    </w:r>
    <w:r>
      <w:rPr>
        <w:color w:val="617177"/>
        <w:sz w:val="15"/>
      </w:rPr>
      <w:fldChar w:fldCharType="separate"/>
    </w:r>
    <w:r>
      <w:rPr>
        <w:color w:val="617177"/>
        <w:sz w:val="15"/>
      </w:rPr>
      <w:t>1</w:t>
    </w:r>
    <w:r>
      <w:rPr>
        <w:color w:val="617177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D1C65" w14:textId="77777777" w:rsidR="00F73C02" w:rsidRDefault="00F73C02">
      <w:pPr>
        <w:spacing w:after="0" w:line="240" w:lineRule="auto"/>
      </w:pPr>
      <w:r>
        <w:separator/>
      </w:r>
    </w:p>
  </w:footnote>
  <w:footnote w:type="continuationSeparator" w:id="0">
    <w:p w14:paraId="07BA93F9" w14:textId="77777777" w:rsidR="00F73C02" w:rsidRDefault="00F73C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AA029" w14:textId="77777777" w:rsidR="007152E5" w:rsidRDefault="00F73C02">
    <w:r>
      <w:rPr>
        <w:noProof/>
      </w:rPr>
      <w:drawing>
        <wp:inline distT="0" distB="0" distL="0" distR="0" wp14:anchorId="44D1907F" wp14:editId="36A11F52">
          <wp:extent cx="1872000" cy="50193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horizontal_co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2000" cy="5019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8727079">
    <w:abstractNumId w:val="8"/>
  </w:num>
  <w:num w:numId="2" w16cid:durableId="347677343">
    <w:abstractNumId w:val="6"/>
  </w:num>
  <w:num w:numId="3" w16cid:durableId="717633760">
    <w:abstractNumId w:val="5"/>
  </w:num>
  <w:num w:numId="4" w16cid:durableId="851726710">
    <w:abstractNumId w:val="4"/>
  </w:num>
  <w:num w:numId="5" w16cid:durableId="208692607">
    <w:abstractNumId w:val="7"/>
  </w:num>
  <w:num w:numId="6" w16cid:durableId="1101267927">
    <w:abstractNumId w:val="3"/>
  </w:num>
  <w:num w:numId="7" w16cid:durableId="1331713926">
    <w:abstractNumId w:val="2"/>
  </w:num>
  <w:num w:numId="8" w16cid:durableId="1137139271">
    <w:abstractNumId w:val="1"/>
  </w:num>
  <w:num w:numId="9" w16cid:durableId="1382054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52E5"/>
    <w:rsid w:val="00AA1D8D"/>
    <w:rsid w:val="00AB63CB"/>
    <w:rsid w:val="00B47730"/>
    <w:rsid w:val="00CB0664"/>
    <w:rsid w:val="00F73C02"/>
    <w:rsid w:val="00F77B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D836EB"/>
  <w14:defaultImageDpi w14:val="300"/>
  <w15:docId w15:val="{7CA76EEA-B743-45FB-BDC1-E7469D998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Calibri" w:eastAsia="Calibri" w:hAnsi="Calibri" w:cs="Calibri"/>
      <w:color w:val="064B6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904</Words>
  <Characters>5302</Characters>
  <Application>Microsoft Office Word</Application>
  <DocSecurity>0</DocSecurity>
  <Lines>226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Não conformidade e pontos de parada R00</dc:title>
  <dc:subject>Política de Controle Tecnológico de Obras</dc:subject>
  <dc:creator>Concessionária 116 Sertões S.A.</dc:creator>
  <cp:keywords>POL-CT-116-A2; R00; AP; controle tecnológico; Rota dos Sertões</cp:keywords>
  <dc:description>generated by python-docx</dc:description>
  <cp:lastModifiedBy>Danillo Oliveira</cp:lastModifiedBy>
  <cp:revision>2</cp:revision>
  <dcterms:created xsi:type="dcterms:W3CDTF">2013-12-23T23:15:00Z</dcterms:created>
  <dcterms:modified xsi:type="dcterms:W3CDTF">2026-10-21T18:22:00Z</dcterms:modified>
  <cp:category/>
  <cp:version>R00</cp:version>
</cp:coreProperties>
</file>