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8548D" w14:textId="77777777" w:rsidR="004708DC" w:rsidRDefault="005547F1">
      <w:r>
        <w:rPr>
          <w:b/>
          <w:color w:val="617177"/>
        </w:rPr>
        <w:t>ANEXO 3 DA POLÍTICA DE CONTROLE TECNOLÓGICO DE OBRAS</w:t>
      </w:r>
    </w:p>
    <w:p w14:paraId="04E0776C" w14:textId="77777777" w:rsidR="004708DC" w:rsidRDefault="005547F1">
      <w:pPr>
        <w:spacing w:before="80"/>
      </w:pPr>
      <w:r>
        <w:rPr>
          <w:b/>
          <w:sz w:val="36"/>
        </w:rPr>
        <w:t>Divergência entre laboratórios</w:t>
      </w:r>
    </w:p>
    <w:p w14:paraId="325227AD" w14:textId="77777777" w:rsidR="004708DC" w:rsidRDefault="005547F1">
      <w:pPr>
        <w:spacing w:before="160"/>
      </w:pPr>
      <w:r>
        <w:rPr>
          <w:color w:val="617177"/>
          <w:sz w:val="21"/>
        </w:rPr>
        <w:t>Código POL-CT-116-A3 · Revisão R00 · 17/10/2026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4708DC" w14:paraId="460AC0ED" w14:textId="77777777">
        <w:trPr>
          <w:tblHeader/>
        </w:trPr>
        <w:tc>
          <w:tcPr>
            <w:tcW w:w="1559" w:type="dxa"/>
            <w:shd w:val="clear" w:color="auto" w:fill="F3F2ED"/>
          </w:tcPr>
          <w:p w14:paraId="14C8EF97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7B9C423A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34A5AB20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52A2AE6F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4708DC" w14:paraId="09573A76" w14:textId="77777777">
        <w:tc>
          <w:tcPr>
            <w:tcW w:w="1559" w:type="dxa"/>
          </w:tcPr>
          <w:p w14:paraId="25980D74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5548EE4F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69EB3E5D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00C464AF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726A6CC6" w14:textId="77777777" w:rsidR="004708DC" w:rsidRDefault="004708DC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708DC" w14:paraId="13CF6AF1" w14:textId="77777777">
        <w:trPr>
          <w:tblHeader/>
        </w:trPr>
        <w:tc>
          <w:tcPr>
            <w:tcW w:w="4677" w:type="dxa"/>
            <w:shd w:val="clear" w:color="auto" w:fill="F3F2ED"/>
          </w:tcPr>
          <w:p w14:paraId="77DBDE33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48E85345" w14:textId="77777777" w:rsidR="004708DC" w:rsidRDefault="005547F1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4708DC" w14:paraId="4FD6C6A2" w14:textId="77777777">
        <w:tc>
          <w:tcPr>
            <w:tcW w:w="4677" w:type="dxa"/>
          </w:tcPr>
          <w:p w14:paraId="1746501B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  <w:tc>
          <w:tcPr>
            <w:tcW w:w="4677" w:type="dxa"/>
          </w:tcPr>
          <w:p w14:paraId="7F7BEA41" w14:textId="77777777" w:rsidR="004708DC" w:rsidRDefault="005547F1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</w:tr>
    </w:tbl>
    <w:p w14:paraId="7D8F1AFA" w14:textId="77777777" w:rsidR="004708DC" w:rsidRDefault="004708DC">
      <w:pPr>
        <w:spacing w:after="40"/>
      </w:pPr>
    </w:p>
    <w:p w14:paraId="760AD8C3" w14:textId="77777777" w:rsidR="004708DC" w:rsidRDefault="004708DC"/>
    <w:p w14:paraId="192A9911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123EEE21" w14:textId="77777777" w:rsidR="004708DC" w:rsidRDefault="005547F1">
      <w:pPr>
        <w:spacing w:after="120"/>
      </w:pPr>
      <w:r>
        <w:t>Este anexo detalha a seção 12 da Política de Controle Tecnológico de Obras: quando há divergência entre o laboratório da EXECUTORA e a verificação da Concessionária, como ela é apurada e como se decide.</w:t>
      </w:r>
    </w:p>
    <w:p w14:paraId="1342305F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t>2. Limites de divergência</w:t>
      </w:r>
    </w:p>
    <w:p w14:paraId="6D4671D1" w14:textId="77777777" w:rsidR="004708DC" w:rsidRDefault="005547F1">
      <w:pPr>
        <w:spacing w:after="120"/>
      </w:pPr>
      <w:r>
        <w:t>Há divergência quando dois resultados válidos, para o mesmo lote e a mesma propriedade, diferem em mais do que o limite de reprodutibilidade do método de ensaio. Quando a norma não traz esse limite, aplicam-se os valores abaixo. São valores iniciais da R00, a revisar após 6 meses de dados comparáveis.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1871"/>
        <w:gridCol w:w="2227"/>
      </w:tblGrid>
      <w:tr w:rsidR="004708DC" w14:paraId="070FB113" w14:textId="77777777">
        <w:trPr>
          <w:tblHeader/>
        </w:trPr>
        <w:tc>
          <w:tcPr>
            <w:tcW w:w="5256" w:type="dxa"/>
            <w:shd w:val="clear" w:color="auto" w:fill="F3F2ED"/>
          </w:tcPr>
          <w:p w14:paraId="42895FCD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1871" w:type="dxa"/>
            <w:shd w:val="clear" w:color="auto" w:fill="F3F2ED"/>
          </w:tcPr>
          <w:p w14:paraId="2B2D257F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Limite de divergência</w:t>
            </w:r>
          </w:p>
        </w:tc>
        <w:tc>
          <w:tcPr>
            <w:tcW w:w="2227" w:type="dxa"/>
            <w:shd w:val="clear" w:color="auto" w:fill="F3F2ED"/>
          </w:tcPr>
          <w:p w14:paraId="7E0453CC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Unidade</w:t>
            </w:r>
          </w:p>
        </w:tc>
      </w:tr>
      <w:tr w:rsidR="004708DC" w14:paraId="33E99C56" w14:textId="77777777">
        <w:tc>
          <w:tcPr>
            <w:tcW w:w="5256" w:type="dxa"/>
          </w:tcPr>
          <w:p w14:paraId="0008D20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Teor de ligante</w:t>
            </w:r>
          </w:p>
        </w:tc>
        <w:tc>
          <w:tcPr>
            <w:tcW w:w="1871" w:type="dxa"/>
          </w:tcPr>
          <w:p w14:paraId="6D6E7C9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0,3</w:t>
            </w:r>
          </w:p>
        </w:tc>
        <w:tc>
          <w:tcPr>
            <w:tcW w:w="2227" w:type="dxa"/>
          </w:tcPr>
          <w:p w14:paraId="42AE4DC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4708DC" w14:paraId="5038B36D" w14:textId="77777777">
        <w:tc>
          <w:tcPr>
            <w:tcW w:w="5256" w:type="dxa"/>
          </w:tcPr>
          <w:p w14:paraId="241F641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Granulometria da mistura, peneiras de 4,75 mm e maiores</w:t>
            </w:r>
          </w:p>
        </w:tc>
        <w:tc>
          <w:tcPr>
            <w:tcW w:w="1871" w:type="dxa"/>
          </w:tcPr>
          <w:p w14:paraId="634E84F7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564FD8B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4708DC" w14:paraId="44570548" w14:textId="77777777">
        <w:tc>
          <w:tcPr>
            <w:tcW w:w="5256" w:type="dxa"/>
          </w:tcPr>
          <w:p w14:paraId="2A482E1F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Granulometria da mistura, peneiras entre 0,075 mm e 2,36 mm</w:t>
            </w:r>
          </w:p>
        </w:tc>
        <w:tc>
          <w:tcPr>
            <w:tcW w:w="1871" w:type="dxa"/>
          </w:tcPr>
          <w:p w14:paraId="2E1E26B7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227" w:type="dxa"/>
          </w:tcPr>
          <w:p w14:paraId="55C010F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4708DC" w14:paraId="36DD3A21" w14:textId="77777777">
        <w:tc>
          <w:tcPr>
            <w:tcW w:w="5256" w:type="dxa"/>
          </w:tcPr>
          <w:p w14:paraId="59726E2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Granulometria da mistura, peneira 0,075 mm</w:t>
            </w:r>
          </w:p>
        </w:tc>
        <w:tc>
          <w:tcPr>
            <w:tcW w:w="1871" w:type="dxa"/>
          </w:tcPr>
          <w:p w14:paraId="15F9981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1,5</w:t>
            </w:r>
          </w:p>
        </w:tc>
        <w:tc>
          <w:tcPr>
            <w:tcW w:w="2227" w:type="dxa"/>
          </w:tcPr>
          <w:p w14:paraId="234C080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4708DC" w14:paraId="2A5BFF53" w14:textId="77777777">
        <w:tc>
          <w:tcPr>
            <w:tcW w:w="5256" w:type="dxa"/>
          </w:tcPr>
          <w:p w14:paraId="600BDD4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Grau de compactação de mistura asfáltica</w:t>
            </w:r>
          </w:p>
        </w:tc>
        <w:tc>
          <w:tcPr>
            <w:tcW w:w="1871" w:type="dxa"/>
          </w:tcPr>
          <w:p w14:paraId="4235C09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232A571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4708DC" w14:paraId="34F01156" w14:textId="77777777">
        <w:tc>
          <w:tcPr>
            <w:tcW w:w="5256" w:type="dxa"/>
          </w:tcPr>
          <w:p w14:paraId="265ED13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Grau de compactação de solo ou camada granular</w:t>
            </w:r>
          </w:p>
        </w:tc>
        <w:tc>
          <w:tcPr>
            <w:tcW w:w="1871" w:type="dxa"/>
          </w:tcPr>
          <w:p w14:paraId="1E8C2DE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2,0</w:t>
            </w:r>
          </w:p>
        </w:tc>
        <w:tc>
          <w:tcPr>
            <w:tcW w:w="2227" w:type="dxa"/>
          </w:tcPr>
          <w:p w14:paraId="02CAB0DF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4708DC" w14:paraId="6E9B21F1" w14:textId="77777777">
        <w:tc>
          <w:tcPr>
            <w:tcW w:w="5256" w:type="dxa"/>
          </w:tcPr>
          <w:p w14:paraId="78D5DE2B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Umidade de solo</w:t>
            </w:r>
          </w:p>
        </w:tc>
        <w:tc>
          <w:tcPr>
            <w:tcW w:w="1871" w:type="dxa"/>
          </w:tcPr>
          <w:p w14:paraId="3FB904DE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37FC8C3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4708DC" w14:paraId="2871D47B" w14:textId="77777777">
        <w:tc>
          <w:tcPr>
            <w:tcW w:w="5256" w:type="dxa"/>
          </w:tcPr>
          <w:p w14:paraId="50721B34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Espessura de camada</w:t>
            </w:r>
          </w:p>
        </w:tc>
        <w:tc>
          <w:tcPr>
            <w:tcW w:w="1871" w:type="dxa"/>
          </w:tcPr>
          <w:p w14:paraId="448A6F1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0DD466A1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% da espessura de projeto</w:t>
            </w:r>
          </w:p>
        </w:tc>
      </w:tr>
      <w:tr w:rsidR="004708DC" w14:paraId="3080BBEF" w14:textId="77777777">
        <w:tc>
          <w:tcPr>
            <w:tcW w:w="5256" w:type="dxa"/>
          </w:tcPr>
          <w:p w14:paraId="31F129AF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Resistência à compressão do concreto</w:t>
            </w:r>
          </w:p>
        </w:tc>
        <w:tc>
          <w:tcPr>
            <w:tcW w:w="1871" w:type="dxa"/>
          </w:tcPr>
          <w:p w14:paraId="0BD8DE7E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2227" w:type="dxa"/>
          </w:tcPr>
          <w:p w14:paraId="19DC38EE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4708DC" w14:paraId="4ADFB528" w14:textId="77777777">
        <w:tc>
          <w:tcPr>
            <w:tcW w:w="5256" w:type="dxa"/>
          </w:tcPr>
          <w:p w14:paraId="55B67F83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Abatimento do concreto</w:t>
            </w:r>
          </w:p>
        </w:tc>
        <w:tc>
          <w:tcPr>
            <w:tcW w:w="1871" w:type="dxa"/>
          </w:tcPr>
          <w:p w14:paraId="5546AD9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137D5983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mm</w:t>
            </w:r>
          </w:p>
        </w:tc>
      </w:tr>
      <w:tr w:rsidR="004708DC" w14:paraId="75F79730" w14:textId="77777777">
        <w:tc>
          <w:tcPr>
            <w:tcW w:w="5256" w:type="dxa"/>
          </w:tcPr>
          <w:p w14:paraId="03358CB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Vazios da mistura asfáltica</w:t>
            </w:r>
          </w:p>
        </w:tc>
        <w:tc>
          <w:tcPr>
            <w:tcW w:w="1871" w:type="dxa"/>
          </w:tcPr>
          <w:p w14:paraId="3863D90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698A33F1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4708DC" w14:paraId="61F99B5E" w14:textId="77777777">
        <w:tc>
          <w:tcPr>
            <w:tcW w:w="5256" w:type="dxa"/>
          </w:tcPr>
          <w:p w14:paraId="3670093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Massa específica aparente (Gmb)</w:t>
            </w:r>
          </w:p>
        </w:tc>
        <w:tc>
          <w:tcPr>
            <w:tcW w:w="1871" w:type="dxa"/>
          </w:tcPr>
          <w:p w14:paraId="031D8747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0,020</w:t>
            </w:r>
          </w:p>
        </w:tc>
        <w:tc>
          <w:tcPr>
            <w:tcW w:w="2227" w:type="dxa"/>
          </w:tcPr>
          <w:p w14:paraId="1EDB668B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g/cm³</w:t>
            </w:r>
          </w:p>
        </w:tc>
      </w:tr>
      <w:tr w:rsidR="004708DC" w14:paraId="6DCFAECC" w14:textId="77777777">
        <w:tc>
          <w:tcPr>
            <w:tcW w:w="5256" w:type="dxa"/>
          </w:tcPr>
          <w:p w14:paraId="3FCA50D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1871" w:type="dxa"/>
          </w:tcPr>
          <w:p w14:paraId="4F8B62C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315A3C7F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4708DC" w14:paraId="395098C0" w14:textId="77777777">
        <w:tc>
          <w:tcPr>
            <w:tcW w:w="5256" w:type="dxa"/>
          </w:tcPr>
          <w:p w14:paraId="5371C01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ISC</w:t>
            </w:r>
          </w:p>
        </w:tc>
        <w:tc>
          <w:tcPr>
            <w:tcW w:w="1871" w:type="dxa"/>
          </w:tcPr>
          <w:p w14:paraId="4DE24509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7C7F439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4708DC" w14:paraId="04BB0ECA" w14:textId="77777777">
        <w:tc>
          <w:tcPr>
            <w:tcW w:w="5256" w:type="dxa"/>
          </w:tcPr>
          <w:p w14:paraId="6400CDB2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Penetração do ligante</w:t>
            </w:r>
          </w:p>
        </w:tc>
        <w:tc>
          <w:tcPr>
            <w:tcW w:w="1871" w:type="dxa"/>
          </w:tcPr>
          <w:p w14:paraId="0DE01E9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6A02B3D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0,1 mm</w:t>
            </w:r>
          </w:p>
        </w:tc>
      </w:tr>
      <w:tr w:rsidR="004708DC" w14:paraId="16F44BF2" w14:textId="77777777">
        <w:tc>
          <w:tcPr>
            <w:tcW w:w="5256" w:type="dxa"/>
          </w:tcPr>
          <w:p w14:paraId="1733054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Ponto de amolecimento</w:t>
            </w:r>
          </w:p>
        </w:tc>
        <w:tc>
          <w:tcPr>
            <w:tcW w:w="1871" w:type="dxa"/>
          </w:tcPr>
          <w:p w14:paraId="1B5DF02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227" w:type="dxa"/>
          </w:tcPr>
          <w:p w14:paraId="7DD2B19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°C</w:t>
            </w:r>
          </w:p>
        </w:tc>
      </w:tr>
    </w:tbl>
    <w:p w14:paraId="35124514" w14:textId="77777777" w:rsidR="004708DC" w:rsidRDefault="004708DC">
      <w:pPr>
        <w:spacing w:after="40"/>
      </w:pPr>
    </w:p>
    <w:p w14:paraId="18F0D2A8" w14:textId="77777777" w:rsidR="004708DC" w:rsidRDefault="005547F1">
      <w:pPr>
        <w:spacing w:after="120"/>
      </w:pPr>
      <w:r>
        <w:t>Resultado da EXECUTORA e da Concessionária só são comparáveis quando se referem ao mesmo lote, à mesma camada ou elemento e a condições de ensaio equivalentes (idade, energia, temperatura, método e edição).</w:t>
      </w:r>
    </w:p>
    <w:p w14:paraId="69CE27F5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t>3. Sequência de apuração e decisão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135"/>
        <w:gridCol w:w="3050"/>
        <w:gridCol w:w="2237"/>
        <w:gridCol w:w="1932"/>
      </w:tblGrid>
      <w:tr w:rsidR="004708DC" w14:paraId="0137E48B" w14:textId="77777777">
        <w:trPr>
          <w:tblHeader/>
        </w:trPr>
        <w:tc>
          <w:tcPr>
            <w:tcW w:w="2135" w:type="dxa"/>
            <w:shd w:val="clear" w:color="auto" w:fill="F3F2ED"/>
          </w:tcPr>
          <w:p w14:paraId="24DFD34C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Passo</w:t>
            </w:r>
          </w:p>
        </w:tc>
        <w:tc>
          <w:tcPr>
            <w:tcW w:w="3050" w:type="dxa"/>
            <w:shd w:val="clear" w:color="auto" w:fill="F3F2ED"/>
          </w:tcPr>
          <w:p w14:paraId="39B9D6AA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Ação</w:t>
            </w:r>
          </w:p>
        </w:tc>
        <w:tc>
          <w:tcPr>
            <w:tcW w:w="2237" w:type="dxa"/>
            <w:shd w:val="clear" w:color="auto" w:fill="F3F2ED"/>
          </w:tcPr>
          <w:p w14:paraId="296CF93F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1932" w:type="dxa"/>
            <w:shd w:val="clear" w:color="auto" w:fill="F3F2ED"/>
          </w:tcPr>
          <w:p w14:paraId="54A2B649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4708DC" w14:paraId="52FF9738" w14:textId="77777777">
        <w:tc>
          <w:tcPr>
            <w:tcW w:w="2135" w:type="dxa"/>
          </w:tcPr>
          <w:p w14:paraId="584749B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1. Preservação</w:t>
            </w:r>
          </w:p>
        </w:tc>
        <w:tc>
          <w:tcPr>
            <w:tcW w:w="3050" w:type="dxa"/>
          </w:tcPr>
          <w:p w14:paraId="41E2D0B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Registrar os dois resultados no banco de dados, com origem, laboratório, amostra, método e estado</w:t>
            </w:r>
          </w:p>
        </w:tc>
        <w:tc>
          <w:tcPr>
            <w:tcW w:w="2237" w:type="dxa"/>
          </w:tcPr>
          <w:p w14:paraId="356CB68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Imediato</w:t>
            </w:r>
          </w:p>
        </w:tc>
        <w:tc>
          <w:tcPr>
            <w:tcW w:w="1932" w:type="dxa"/>
          </w:tcPr>
          <w:p w14:paraId="26A2EA34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4708DC" w14:paraId="35E48A7E" w14:textId="77777777">
        <w:tc>
          <w:tcPr>
            <w:tcW w:w="2135" w:type="dxa"/>
          </w:tcPr>
          <w:p w14:paraId="32592061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2. Validade</w:t>
            </w:r>
          </w:p>
        </w:tc>
        <w:tc>
          <w:tcPr>
            <w:tcW w:w="3050" w:type="dxa"/>
          </w:tcPr>
          <w:p w14:paraId="203BE55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Conferir identificação do lote, representatividade, coleta, cadeia de custódia, método e edição, condições, calibração, idade ou condicionamento, para as duas fontes</w:t>
            </w:r>
          </w:p>
        </w:tc>
        <w:tc>
          <w:tcPr>
            <w:tcW w:w="2237" w:type="dxa"/>
          </w:tcPr>
          <w:p w14:paraId="34D9BB4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2 dias úteis</w:t>
            </w:r>
          </w:p>
        </w:tc>
        <w:tc>
          <w:tcPr>
            <w:tcW w:w="1932" w:type="dxa"/>
          </w:tcPr>
          <w:p w14:paraId="1FF284FC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Coordenação de Pavimento e Monitoração</w:t>
            </w:r>
          </w:p>
        </w:tc>
      </w:tr>
      <w:tr w:rsidR="004708DC" w14:paraId="0C453645" w14:textId="77777777">
        <w:tc>
          <w:tcPr>
            <w:tcW w:w="2135" w:type="dxa"/>
          </w:tcPr>
          <w:p w14:paraId="1BA1E08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3. Contraprova</w:t>
            </w:r>
          </w:p>
        </w:tc>
        <w:tc>
          <w:tcPr>
            <w:tcW w:w="3050" w:type="dxa"/>
          </w:tcPr>
          <w:p w14:paraId="2C2FBCA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Ensaiar a contraprova em laboratório indicado pela Concessionária, distinto dos dois primeiros quando possível, com testemunho das duas partes</w:t>
            </w:r>
          </w:p>
        </w:tc>
        <w:tc>
          <w:tcPr>
            <w:tcW w:w="2237" w:type="dxa"/>
          </w:tcPr>
          <w:p w14:paraId="3E6597E1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Conforme idade ou condicionamento do método</w:t>
            </w:r>
          </w:p>
        </w:tc>
        <w:tc>
          <w:tcPr>
            <w:tcW w:w="1932" w:type="dxa"/>
          </w:tcPr>
          <w:p w14:paraId="5A806F93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</w:tr>
      <w:tr w:rsidR="004708DC" w14:paraId="6EB7E906" w14:textId="77777777">
        <w:tc>
          <w:tcPr>
            <w:tcW w:w="2135" w:type="dxa"/>
          </w:tcPr>
          <w:p w14:paraId="563F9CB4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4. Nova amostragem</w:t>
            </w:r>
          </w:p>
        </w:tc>
        <w:tc>
          <w:tcPr>
            <w:tcW w:w="3050" w:type="dxa"/>
          </w:tcPr>
          <w:p w14:paraId="616B829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Sem contraprova e com o lote acessível, coletar nova amostra testemunhada pelas duas partes e ensaiar no laboratório indicado</w:t>
            </w:r>
          </w:p>
        </w:tc>
        <w:tc>
          <w:tcPr>
            <w:tcW w:w="2237" w:type="dxa"/>
          </w:tcPr>
          <w:p w14:paraId="747E264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 dias úteis da conclusão do passo 2</w:t>
            </w:r>
          </w:p>
        </w:tc>
        <w:tc>
          <w:tcPr>
            <w:tcW w:w="1932" w:type="dxa"/>
          </w:tcPr>
          <w:p w14:paraId="268F9E4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Laboratório indicado, com Fiscalização</w:t>
            </w:r>
          </w:p>
        </w:tc>
      </w:tr>
      <w:tr w:rsidR="004708DC" w14:paraId="263C1BA7" w14:textId="77777777">
        <w:tc>
          <w:tcPr>
            <w:tcW w:w="2135" w:type="dxa"/>
          </w:tcPr>
          <w:p w14:paraId="20738637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5. Decisão sem contraprova nem nova coleta</w:t>
            </w:r>
          </w:p>
        </w:tc>
        <w:tc>
          <w:tcPr>
            <w:tcW w:w="3050" w:type="dxa"/>
          </w:tcPr>
          <w:p w14:paraId="0AF0A95A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Usar o resultado válido da verificação independente da Concessionária; a EXECUTORA pode pedir investigação técnica</w:t>
            </w:r>
          </w:p>
        </w:tc>
        <w:tc>
          <w:tcPr>
            <w:tcW w:w="2237" w:type="dxa"/>
          </w:tcPr>
          <w:p w14:paraId="4D9D8C1B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 dias úteis</w:t>
            </w:r>
          </w:p>
        </w:tc>
        <w:tc>
          <w:tcPr>
            <w:tcW w:w="1932" w:type="dxa"/>
          </w:tcPr>
          <w:p w14:paraId="3014BA4E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4708DC" w14:paraId="5D0A1619" w14:textId="77777777">
        <w:tc>
          <w:tcPr>
            <w:tcW w:w="2135" w:type="dxa"/>
          </w:tcPr>
          <w:p w14:paraId="6AFD9CEC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6. Decisão</w:t>
            </w:r>
          </w:p>
        </w:tc>
        <w:tc>
          <w:tcPr>
            <w:tcW w:w="3050" w:type="dxa"/>
          </w:tcPr>
          <w:p w14:paraId="1E79FFF9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Registrar a decisão por escrito, com os resultados confrontados e o fundamento</w:t>
            </w:r>
          </w:p>
        </w:tc>
        <w:tc>
          <w:tcPr>
            <w:tcW w:w="2237" w:type="dxa"/>
          </w:tcPr>
          <w:p w14:paraId="495DBF3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5 dias úteis da conclusão do ensaio decisivo</w:t>
            </w:r>
          </w:p>
        </w:tc>
        <w:tc>
          <w:tcPr>
            <w:tcW w:w="1932" w:type="dxa"/>
          </w:tcPr>
          <w:p w14:paraId="2C7D4699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</w:tbl>
    <w:p w14:paraId="66FEB7F6" w14:textId="77777777" w:rsidR="004708DC" w:rsidRDefault="004708DC">
      <w:pPr>
        <w:spacing w:after="40"/>
      </w:pPr>
    </w:p>
    <w:p w14:paraId="54E4545F" w14:textId="77777777" w:rsidR="004708DC" w:rsidRDefault="005547F1">
      <w:pPr>
        <w:spacing w:after="120"/>
      </w:pPr>
      <w:r>
        <w:t>Regras fixas: não há escolha do resultado mais favorável; não há média entre laboratórios; o resultado da contraprova testemunhada define a propriedade do lote; resultado inválido no passo 2 não entra na decisão; o resultado anterior permanece no histórico.</w:t>
      </w:r>
    </w:p>
    <w:p w14:paraId="5685B1F4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t>4. Divergência sistemática</w:t>
      </w:r>
    </w:p>
    <w:p w14:paraId="6208B7A1" w14:textId="77777777" w:rsidR="004708DC" w:rsidRDefault="005547F1">
      <w:pPr>
        <w:spacing w:after="120"/>
      </w:pPr>
      <w:r>
        <w:t>Três ou mais divergências no mesmo trimestre, na mesma propriedade e no mesmo laboratório, caracterizam divergência sistemática. A Concessionária então: realiza diligência extraordinária no laboratório da EXECUTORA (equipamentos, calibração, procedimentos, pessoal e registros); eleva a verificação independente da frente a 100% por 30 dias; e pode exigir a troca do laboratório ou do responsável técnico da EXECUTORA, conforme o contrato de obra.</w:t>
      </w:r>
    </w:p>
    <w:p w14:paraId="03797B1A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Custos</w:t>
      </w:r>
    </w:p>
    <w:p w14:paraId="66743F3A" w14:textId="77777777" w:rsidR="004708DC" w:rsidRDefault="005547F1">
      <w:pPr>
        <w:spacing w:after="120"/>
      </w:pPr>
      <w:r>
        <w:t>A contraprova e a nova coleta são pagas pela Concessionária ao laboratório contratado pelos itens contratuais. Quando o resultado confirmar a não conformidade, o custo é glosado da EXECUTORA conforme o contrato de obra. Resultado que confirme a conformidade não gera custo à EXECUTORA.</w:t>
      </w:r>
    </w:p>
    <w:p w14:paraId="14AA8969" w14:textId="77777777" w:rsidR="004708DC" w:rsidRDefault="005547F1">
      <w:pPr>
        <w:pStyle w:val="Ttulo1"/>
        <w:spacing w:before="280" w:after="120"/>
      </w:pPr>
      <w:r>
        <w:rPr>
          <w:rFonts w:ascii="Calibri" w:eastAsia="Calibri" w:hAnsi="Calibri" w:cs="Calibri"/>
        </w:rPr>
        <w:t>6. Ata de contraprova ou de nova coleta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2"/>
      </w:tblGrid>
      <w:tr w:rsidR="004708DC" w14:paraId="20D16392" w14:textId="77777777">
        <w:trPr>
          <w:tblHeader/>
        </w:trPr>
        <w:tc>
          <w:tcPr>
            <w:tcW w:w="2592" w:type="dxa"/>
            <w:shd w:val="clear" w:color="auto" w:fill="F3F2ED"/>
          </w:tcPr>
          <w:p w14:paraId="6D6645DA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762" w:type="dxa"/>
            <w:shd w:val="clear" w:color="auto" w:fill="F3F2ED"/>
          </w:tcPr>
          <w:p w14:paraId="0792ABB1" w14:textId="77777777" w:rsidR="004708DC" w:rsidRDefault="005547F1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4708DC" w14:paraId="62918CAF" w14:textId="77777777">
        <w:tc>
          <w:tcPr>
            <w:tcW w:w="2592" w:type="dxa"/>
          </w:tcPr>
          <w:p w14:paraId="1BE5895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6762" w:type="dxa"/>
          </w:tcPr>
          <w:p w14:paraId="4FD2BC60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Número do RNC ou da divergência; obra; OS; lote; propriedade</w:t>
            </w:r>
          </w:p>
        </w:tc>
      </w:tr>
      <w:tr w:rsidR="004708DC" w14:paraId="677579EB" w14:textId="77777777">
        <w:tc>
          <w:tcPr>
            <w:tcW w:w="2592" w:type="dxa"/>
          </w:tcPr>
          <w:p w14:paraId="04CEFF4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Resultados em confronto</w:t>
            </w:r>
          </w:p>
        </w:tc>
        <w:tc>
          <w:tcPr>
            <w:tcW w:w="6762" w:type="dxa"/>
          </w:tcPr>
          <w:p w14:paraId="1424EBC4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Identificador das amostras, laboratório, método, data, resultado e condição de cada fonte</w:t>
            </w:r>
          </w:p>
        </w:tc>
      </w:tr>
      <w:tr w:rsidR="004708DC" w14:paraId="617CDA4D" w14:textId="77777777">
        <w:tc>
          <w:tcPr>
            <w:tcW w:w="2592" w:type="dxa"/>
          </w:tcPr>
          <w:p w14:paraId="20D323A9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Validade</w:t>
            </w:r>
          </w:p>
        </w:tc>
        <w:tc>
          <w:tcPr>
            <w:tcW w:w="6762" w:type="dxa"/>
          </w:tcPr>
          <w:p w14:paraId="5F0BC47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Conclusão do passo 2 para cada resultado, com motivo em caso de invalidade</w:t>
            </w:r>
          </w:p>
        </w:tc>
      </w:tr>
      <w:tr w:rsidR="004708DC" w14:paraId="4CF9133A" w14:textId="77777777">
        <w:tc>
          <w:tcPr>
            <w:tcW w:w="2592" w:type="dxa"/>
          </w:tcPr>
          <w:p w14:paraId="0DCFAA5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Amostra decisiva</w:t>
            </w:r>
          </w:p>
        </w:tc>
        <w:tc>
          <w:tcPr>
            <w:tcW w:w="6762" w:type="dxa"/>
          </w:tcPr>
          <w:p w14:paraId="72C6BACC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Identificador da contraprova ou da nova amostra; lacre; fotografia; local (km do PER e km do SNV 202607A, coordenadas SIRGAS 2000)</w:t>
            </w:r>
          </w:p>
        </w:tc>
      </w:tr>
      <w:tr w:rsidR="004708DC" w14:paraId="27A86CD3" w14:textId="77777777">
        <w:tc>
          <w:tcPr>
            <w:tcW w:w="2592" w:type="dxa"/>
          </w:tcPr>
          <w:p w14:paraId="0A63804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Presentes</w:t>
            </w:r>
          </w:p>
        </w:tc>
        <w:tc>
          <w:tcPr>
            <w:tcW w:w="6762" w:type="dxa"/>
          </w:tcPr>
          <w:p w14:paraId="263DB07D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Nome, empresa e assinatura dos representantes das duas partes e do laboratório; registro de ausência ou recusa</w:t>
            </w:r>
          </w:p>
        </w:tc>
      </w:tr>
      <w:tr w:rsidR="004708DC" w14:paraId="6523B3BF" w14:textId="77777777">
        <w:tc>
          <w:tcPr>
            <w:tcW w:w="2592" w:type="dxa"/>
          </w:tcPr>
          <w:p w14:paraId="0363A416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  <w:tc>
          <w:tcPr>
            <w:tcW w:w="6762" w:type="dxa"/>
          </w:tcPr>
          <w:p w14:paraId="209A93C5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Nome, responsável técnico, método, calibração</w:t>
            </w:r>
          </w:p>
        </w:tc>
      </w:tr>
      <w:tr w:rsidR="004708DC" w14:paraId="755F5924" w14:textId="77777777">
        <w:tc>
          <w:tcPr>
            <w:tcW w:w="2592" w:type="dxa"/>
          </w:tcPr>
          <w:p w14:paraId="25B395A8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Resultado e decisão</w:t>
            </w:r>
          </w:p>
        </w:tc>
        <w:tc>
          <w:tcPr>
            <w:tcW w:w="6762" w:type="dxa"/>
          </w:tcPr>
          <w:p w14:paraId="75811DC1" w14:textId="77777777" w:rsidR="004708DC" w:rsidRDefault="005547F1">
            <w:pPr>
              <w:spacing w:after="20" w:line="240" w:lineRule="auto"/>
            </w:pPr>
            <w:r>
              <w:rPr>
                <w:sz w:val="18"/>
              </w:rPr>
              <w:t>Resultado decisivo; decisão da Gerência; data; fundamento</w:t>
            </w:r>
          </w:p>
        </w:tc>
      </w:tr>
    </w:tbl>
    <w:p w14:paraId="65EBA6CC" w14:textId="77777777" w:rsidR="004708DC" w:rsidRDefault="004708DC">
      <w:pPr>
        <w:spacing w:after="40"/>
      </w:pPr>
    </w:p>
    <w:sectPr w:rsidR="004708DC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3E1F8" w14:textId="77777777" w:rsidR="005547F1" w:rsidRDefault="005547F1">
      <w:pPr>
        <w:spacing w:after="0" w:line="240" w:lineRule="auto"/>
      </w:pPr>
      <w:r>
        <w:separator/>
      </w:r>
    </w:p>
  </w:endnote>
  <w:endnote w:type="continuationSeparator" w:id="0">
    <w:p w14:paraId="50416159" w14:textId="77777777" w:rsidR="005547F1" w:rsidRDefault="00554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4708DC" w14:paraId="419CC07F" w14:textId="77777777">
      <w:tc>
        <w:tcPr>
          <w:tcW w:w="7937" w:type="dxa"/>
          <w:tcBorders>
            <w:bottom w:val="single" w:sz="12" w:space="0" w:color="F5BA00"/>
          </w:tcBorders>
        </w:tcPr>
        <w:p w14:paraId="5F9571BC" w14:textId="77777777" w:rsidR="004708DC" w:rsidRDefault="004708DC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03392067" w14:textId="77777777" w:rsidR="004708DC" w:rsidRDefault="004708DC">
          <w:pPr>
            <w:spacing w:after="0" w:line="40" w:lineRule="exact"/>
          </w:pPr>
        </w:p>
      </w:tc>
    </w:tr>
  </w:tbl>
  <w:p w14:paraId="3591A101" w14:textId="77777777" w:rsidR="004708DC" w:rsidRDefault="005547F1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2EDA7E2E" w14:textId="77777777" w:rsidR="004708DC" w:rsidRDefault="005547F1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F2763E2" w14:textId="77777777" w:rsidR="004708DC" w:rsidRDefault="005547F1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A91FA" w14:textId="77777777" w:rsidR="005547F1" w:rsidRDefault="005547F1">
      <w:pPr>
        <w:spacing w:after="0" w:line="240" w:lineRule="auto"/>
      </w:pPr>
      <w:r>
        <w:separator/>
      </w:r>
    </w:p>
  </w:footnote>
  <w:footnote w:type="continuationSeparator" w:id="0">
    <w:p w14:paraId="58497077" w14:textId="77777777" w:rsidR="005547F1" w:rsidRDefault="005547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A7152" w14:textId="77777777" w:rsidR="004708DC" w:rsidRDefault="005547F1">
    <w:r>
      <w:rPr>
        <w:noProof/>
      </w:rPr>
      <w:drawing>
        <wp:inline distT="0" distB="0" distL="0" distR="0" wp14:anchorId="3FBF6206" wp14:editId="2C2053CD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190860">
    <w:abstractNumId w:val="8"/>
  </w:num>
  <w:num w:numId="2" w16cid:durableId="1533684083">
    <w:abstractNumId w:val="6"/>
  </w:num>
  <w:num w:numId="3" w16cid:durableId="256332687">
    <w:abstractNumId w:val="5"/>
  </w:num>
  <w:num w:numId="4" w16cid:durableId="1556236353">
    <w:abstractNumId w:val="4"/>
  </w:num>
  <w:num w:numId="5" w16cid:durableId="1317415672">
    <w:abstractNumId w:val="7"/>
  </w:num>
  <w:num w:numId="6" w16cid:durableId="1298493895">
    <w:abstractNumId w:val="3"/>
  </w:num>
  <w:num w:numId="7" w16cid:durableId="2040280975">
    <w:abstractNumId w:val="2"/>
  </w:num>
  <w:num w:numId="8" w16cid:durableId="912205921">
    <w:abstractNumId w:val="1"/>
  </w:num>
  <w:num w:numId="9" w16cid:durableId="45374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08DC"/>
    <w:rsid w:val="005547F1"/>
    <w:rsid w:val="00AA1D8D"/>
    <w:rsid w:val="00B47730"/>
    <w:rsid w:val="00B93CB3"/>
    <w:rsid w:val="00CB0664"/>
    <w:rsid w:val="00FA07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F5BBE5"/>
  <w14:defaultImageDpi w14:val="300"/>
  <w15:docId w15:val="{C31168E0-8A1F-4393-9753-7F16156E3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759</Words>
  <Characters>4321</Characters>
  <Application>Microsoft Office Word</Application>
  <DocSecurity>0</DocSecurity>
  <Lines>177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Divergência entre laboratórios R00</dc:title>
  <dc:subject>Política de Controle Tecnológico de Obras</dc:subject>
  <dc:creator>Concessionária 116 Sertões S.A.</dc:creator>
  <cp:keywords>POL-CT-116-A3;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2026-10-21T18:22:00Z</dcterms:modified>
  <cp:category/>
  <cp:version>R00</cp:version>
</cp:coreProperties>
</file>