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D2D11" w14:textId="77777777" w:rsidR="00017A67" w:rsidRDefault="00493300">
      <w:r>
        <w:rPr>
          <w:b/>
          <w:color w:val="617177"/>
        </w:rPr>
        <w:t>ANEXO 4 DA POLÍTICA DE CONTROLE TECNOLÓGICO DE OBRAS</w:t>
      </w:r>
    </w:p>
    <w:p w14:paraId="55F6D831" w14:textId="77777777" w:rsidR="00017A67" w:rsidRDefault="00493300">
      <w:pPr>
        <w:spacing w:before="80"/>
      </w:pPr>
      <w:r>
        <w:rPr>
          <w:b/>
          <w:sz w:val="36"/>
        </w:rPr>
        <w:t>Rastreabilidade e acervo</w:t>
      </w:r>
    </w:p>
    <w:p w14:paraId="79D0A2AB" w14:textId="77777777" w:rsidR="00017A67" w:rsidRDefault="00493300">
      <w:pPr>
        <w:spacing w:before="160"/>
      </w:pPr>
      <w:r>
        <w:rPr>
          <w:color w:val="617177"/>
          <w:sz w:val="21"/>
        </w:rPr>
        <w:t>Código POL-CT-116-A4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017A67" w14:paraId="07BB73BE" w14:textId="77777777">
        <w:trPr>
          <w:tblHeader/>
        </w:trPr>
        <w:tc>
          <w:tcPr>
            <w:tcW w:w="1559" w:type="dxa"/>
            <w:shd w:val="clear" w:color="auto" w:fill="F3F2ED"/>
          </w:tcPr>
          <w:p w14:paraId="53FD7647" w14:textId="77777777" w:rsidR="00017A67" w:rsidRDefault="00493300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3DAF5AE2" w14:textId="77777777" w:rsidR="00017A67" w:rsidRDefault="00493300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0B3E68D2" w14:textId="77777777" w:rsidR="00017A67" w:rsidRDefault="00493300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7447F629" w14:textId="77777777" w:rsidR="00017A67" w:rsidRDefault="00493300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017A67" w14:paraId="4196CA11" w14:textId="77777777">
        <w:tc>
          <w:tcPr>
            <w:tcW w:w="1559" w:type="dxa"/>
          </w:tcPr>
          <w:p w14:paraId="3D53E26B" w14:textId="77777777" w:rsidR="00017A67" w:rsidRDefault="00493300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5621E4A8" w14:textId="77777777" w:rsidR="00017A67" w:rsidRDefault="00493300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6D4DED4D" w14:textId="77777777" w:rsidR="00017A67" w:rsidRDefault="00493300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61958EDE" w14:textId="77777777" w:rsidR="00017A67" w:rsidRDefault="00493300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50D2CBD6" w14:textId="77777777" w:rsidR="00017A67" w:rsidRDefault="00017A67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17A67" w14:paraId="4A0E3E05" w14:textId="77777777">
        <w:trPr>
          <w:tblHeader/>
        </w:trPr>
        <w:tc>
          <w:tcPr>
            <w:tcW w:w="4677" w:type="dxa"/>
            <w:shd w:val="clear" w:color="auto" w:fill="F3F2ED"/>
          </w:tcPr>
          <w:p w14:paraId="41E2AC88" w14:textId="77777777" w:rsidR="00017A67" w:rsidRDefault="00493300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3001A471" w14:textId="77777777" w:rsidR="00017A67" w:rsidRDefault="00493300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017A67" w14:paraId="72221883" w14:textId="77777777">
        <w:tc>
          <w:tcPr>
            <w:tcW w:w="4677" w:type="dxa"/>
          </w:tcPr>
          <w:p w14:paraId="1F6E1DC9" w14:textId="77777777" w:rsidR="00017A67" w:rsidRDefault="00493300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5E7964EF" w14:textId="77777777" w:rsidR="00017A67" w:rsidRDefault="00493300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211344D0" w14:textId="77777777" w:rsidR="00017A67" w:rsidRDefault="00017A67">
      <w:pPr>
        <w:spacing w:after="40"/>
      </w:pPr>
    </w:p>
    <w:p w14:paraId="7B43B6B3" w14:textId="77777777" w:rsidR="00017A67" w:rsidRDefault="00017A67"/>
    <w:p w14:paraId="6FC4FABE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72D445D4" w14:textId="77777777" w:rsidR="00017A67" w:rsidRDefault="00493300">
      <w:pPr>
        <w:spacing w:after="120"/>
      </w:pPr>
      <w:r>
        <w:t>Este anexo detalha a seção 14 da Política de Controle Tecnológico de Obras: localização, codificação, campos mínimos do registro de ensaio, camadas do acervo e Data Book.</w:t>
      </w:r>
    </w:p>
    <w:p w14:paraId="5487CB21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t>2. Localização</w:t>
      </w:r>
    </w:p>
    <w:p w14:paraId="7888873A" w14:textId="77777777" w:rsidR="00017A67" w:rsidRDefault="00493300">
      <w:pPr>
        <w:spacing w:after="120"/>
      </w:pPr>
      <w:r>
        <w:t>Todo registro de amostra, ensaio, laudo, RNC e diligência traz: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319"/>
        <w:gridCol w:w="6035"/>
      </w:tblGrid>
      <w:tr w:rsidR="00017A67" w14:paraId="1BC047C0" w14:textId="77777777">
        <w:trPr>
          <w:tblHeader/>
        </w:trPr>
        <w:tc>
          <w:tcPr>
            <w:tcW w:w="3319" w:type="dxa"/>
            <w:shd w:val="clear" w:color="auto" w:fill="F3F2ED"/>
          </w:tcPr>
          <w:p w14:paraId="28B8BEE6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035" w:type="dxa"/>
            <w:shd w:val="clear" w:color="auto" w:fill="F3F2ED"/>
          </w:tcPr>
          <w:p w14:paraId="528036B9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Regra</w:t>
            </w:r>
          </w:p>
        </w:tc>
      </w:tr>
      <w:tr w:rsidR="00017A67" w14:paraId="6B767E45" w14:textId="77777777">
        <w:tc>
          <w:tcPr>
            <w:tcW w:w="3319" w:type="dxa"/>
          </w:tcPr>
          <w:p w14:paraId="3A8D63D9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Rodovia e UF</w:t>
            </w:r>
          </w:p>
        </w:tc>
        <w:tc>
          <w:tcPr>
            <w:tcW w:w="6035" w:type="dxa"/>
          </w:tcPr>
          <w:p w14:paraId="5D3C402A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BR-116/PE, BR-116/BA ou BR-324/BA</w:t>
            </w:r>
          </w:p>
        </w:tc>
      </w:tr>
      <w:tr w:rsidR="00017A67" w14:paraId="4242C0F6" w14:textId="77777777">
        <w:tc>
          <w:tcPr>
            <w:tcW w:w="3319" w:type="dxa"/>
          </w:tcPr>
          <w:p w14:paraId="3BD7164D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Sentido, faixa, lado</w:t>
            </w:r>
          </w:p>
        </w:tc>
        <w:tc>
          <w:tcPr>
            <w:tcW w:w="6035" w:type="dxa"/>
          </w:tcPr>
          <w:p w14:paraId="457F5DEA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Conforme a convenção da lista mestre do acervo de projetos</w:t>
            </w:r>
          </w:p>
        </w:tc>
      </w:tr>
      <w:tr w:rsidR="00017A67" w14:paraId="67021A52" w14:textId="77777777">
        <w:tc>
          <w:tcPr>
            <w:tcW w:w="3319" w:type="dxa"/>
          </w:tcPr>
          <w:p w14:paraId="15F166E0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km do PER</w:t>
            </w:r>
          </w:p>
        </w:tc>
        <w:tc>
          <w:tcPr>
            <w:tcW w:w="6035" w:type="dxa"/>
          </w:tcPr>
          <w:p w14:paraId="69045A1E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PER Vol. II ajustado pós-leilão, Tabela 1; formato km 123,400</w:t>
            </w:r>
          </w:p>
        </w:tc>
      </w:tr>
      <w:tr w:rsidR="00017A67" w14:paraId="55634377" w14:textId="77777777">
        <w:tc>
          <w:tcPr>
            <w:tcW w:w="3319" w:type="dxa"/>
          </w:tcPr>
          <w:p w14:paraId="56B8AB6E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km do SNV</w:t>
            </w:r>
          </w:p>
        </w:tc>
        <w:tc>
          <w:tcPr>
            <w:tcW w:w="6035" w:type="dxa"/>
          </w:tcPr>
          <w:p w14:paraId="05958D88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SNV DNIT 202607A; formato km 124,150; convertido pela base de marcos da Concessionária, sem deslocamento único para toda a malha</w:t>
            </w:r>
          </w:p>
        </w:tc>
      </w:tr>
      <w:tr w:rsidR="00017A67" w14:paraId="14CCC4D5" w14:textId="77777777">
        <w:tc>
          <w:tcPr>
            <w:tcW w:w="3319" w:type="dxa"/>
          </w:tcPr>
          <w:p w14:paraId="5C201AC0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Coordenadas</w:t>
            </w:r>
          </w:p>
        </w:tc>
        <w:tc>
          <w:tcPr>
            <w:tcW w:w="6035" w:type="dxa"/>
          </w:tcPr>
          <w:p w14:paraId="56AF0E84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SIRGAS 2000; em UTM, com fuso e hemisfério; precisão do levantamento declarada</w:t>
            </w:r>
          </w:p>
        </w:tc>
      </w:tr>
      <w:tr w:rsidR="00017A67" w14:paraId="6BF2EDD8" w14:textId="77777777">
        <w:tc>
          <w:tcPr>
            <w:tcW w:w="3319" w:type="dxa"/>
          </w:tcPr>
          <w:p w14:paraId="0EA7E1E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Zona, trecho homogêneo, obrigação</w:t>
            </w:r>
          </w:p>
        </w:tc>
        <w:tc>
          <w:tcPr>
            <w:tcW w:w="6035" w:type="dxa"/>
          </w:tcPr>
          <w:p w14:paraId="5992B33C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Conforme a lista mestre do acervo de projetos (Zona &gt; TH &gt; Obrigação)</w:t>
            </w:r>
          </w:p>
        </w:tc>
      </w:tr>
      <w:tr w:rsidR="00017A67" w14:paraId="71BA65D0" w14:textId="77777777">
        <w:tc>
          <w:tcPr>
            <w:tcW w:w="3319" w:type="dxa"/>
          </w:tcPr>
          <w:p w14:paraId="619B6AA2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Camada ou elemento</w:t>
            </w:r>
          </w:p>
        </w:tc>
        <w:tc>
          <w:tcPr>
            <w:tcW w:w="6035" w:type="dxa"/>
          </w:tcPr>
          <w:p w14:paraId="2256A9BC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Subleito, reforço, sub-base, base, binder, rolamento; ou elemento estrutural identificado no projeto</w:t>
            </w:r>
          </w:p>
        </w:tc>
      </w:tr>
    </w:tbl>
    <w:p w14:paraId="16E0D892" w14:textId="77777777" w:rsidR="00017A67" w:rsidRDefault="00017A67">
      <w:pPr>
        <w:spacing w:after="40"/>
      </w:pPr>
    </w:p>
    <w:p w14:paraId="4AE12431" w14:textId="77777777" w:rsidR="00017A67" w:rsidRDefault="00493300">
      <w:pPr>
        <w:spacing w:after="120"/>
      </w:pPr>
      <w:r>
        <w:t>Formato de km no texto: km 123,400 PER / 124,150 SNV. Atualização cadastral de km preserva a coordenada e a identificação física do ponto.</w:t>
      </w:r>
    </w:p>
    <w:p w14:paraId="3A364CC2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t>3. Codificação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205"/>
        <w:gridCol w:w="5149"/>
      </w:tblGrid>
      <w:tr w:rsidR="00017A67" w14:paraId="2F227B11" w14:textId="77777777">
        <w:trPr>
          <w:tblHeader/>
        </w:trPr>
        <w:tc>
          <w:tcPr>
            <w:tcW w:w="4205" w:type="dxa"/>
            <w:shd w:val="clear" w:color="auto" w:fill="F3F2ED"/>
          </w:tcPr>
          <w:p w14:paraId="502B89F7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Objeto</w:t>
            </w:r>
          </w:p>
        </w:tc>
        <w:tc>
          <w:tcPr>
            <w:tcW w:w="5149" w:type="dxa"/>
            <w:shd w:val="clear" w:color="auto" w:fill="F3F2ED"/>
          </w:tcPr>
          <w:p w14:paraId="31589A41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</w:tr>
      <w:tr w:rsidR="00017A67" w14:paraId="7E9C63EE" w14:textId="77777777">
        <w:tc>
          <w:tcPr>
            <w:tcW w:w="4205" w:type="dxa"/>
          </w:tcPr>
          <w:p w14:paraId="58D811A4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Documento (laudo, relatório, PCT, ITP, Data Book)</w:t>
            </w:r>
          </w:p>
        </w:tc>
        <w:tc>
          <w:tcPr>
            <w:tcW w:w="5149" w:type="dxa"/>
          </w:tcPr>
          <w:p w14:paraId="7429B1F1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Código CCS conforme o Anexo A.3 do Caderno BIM 116 Sertões, com revisão, categoria e disciplina; gerador oficial da Central BIM</w:t>
            </w:r>
          </w:p>
        </w:tc>
      </w:tr>
      <w:tr w:rsidR="00017A67" w14:paraId="5F9776C9" w14:textId="77777777">
        <w:tc>
          <w:tcPr>
            <w:tcW w:w="4205" w:type="dxa"/>
          </w:tcPr>
          <w:p w14:paraId="50B2AB8E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lastRenderedPageBreak/>
              <w:t>Amostra</w:t>
            </w:r>
          </w:p>
        </w:tc>
        <w:tc>
          <w:tcPr>
            <w:tcW w:w="5149" w:type="dxa"/>
          </w:tcPr>
          <w:p w14:paraId="716C376E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AM-ZZ-OSNNN-AAAAMMDD-SSS-F (Anexo 1)</w:t>
            </w:r>
          </w:p>
        </w:tc>
      </w:tr>
      <w:tr w:rsidR="00017A67" w14:paraId="04E8A231" w14:textId="77777777">
        <w:tc>
          <w:tcPr>
            <w:tcW w:w="4205" w:type="dxa"/>
          </w:tcPr>
          <w:p w14:paraId="50B4F8BA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RNC</w:t>
            </w:r>
          </w:p>
        </w:tc>
        <w:tc>
          <w:tcPr>
            <w:tcW w:w="5149" w:type="dxa"/>
          </w:tcPr>
          <w:p w14:paraId="49B6CD23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RNC-ZZ-AAAA-NNN (Anexo 2)</w:t>
            </w:r>
          </w:p>
        </w:tc>
      </w:tr>
      <w:tr w:rsidR="00017A67" w14:paraId="1CA69077" w14:textId="77777777">
        <w:tc>
          <w:tcPr>
            <w:tcW w:w="4205" w:type="dxa"/>
          </w:tcPr>
          <w:p w14:paraId="6BA2E98C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Ordem de serviço</w:t>
            </w:r>
          </w:p>
        </w:tc>
        <w:tc>
          <w:tcPr>
            <w:tcW w:w="5149" w:type="dxa"/>
          </w:tcPr>
          <w:p w14:paraId="63E67F17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Numeração do contrato de laboratório, citada em todo registro derivado</w:t>
            </w:r>
          </w:p>
        </w:tc>
      </w:tr>
      <w:tr w:rsidR="00017A67" w14:paraId="22DD919B" w14:textId="77777777">
        <w:tc>
          <w:tcPr>
            <w:tcW w:w="4205" w:type="dxa"/>
          </w:tcPr>
          <w:p w14:paraId="3D00E96A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Lote</w:t>
            </w:r>
          </w:p>
        </w:tc>
        <w:tc>
          <w:tcPr>
            <w:tcW w:w="5149" w:type="dxa"/>
          </w:tcPr>
          <w:p w14:paraId="67076C96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Identificador do PCT: material, camada, trecho, data e processo</w:t>
            </w:r>
          </w:p>
        </w:tc>
      </w:tr>
    </w:tbl>
    <w:p w14:paraId="2927BC5B" w14:textId="77777777" w:rsidR="00017A67" w:rsidRDefault="00017A67">
      <w:pPr>
        <w:spacing w:after="40"/>
      </w:pPr>
    </w:p>
    <w:p w14:paraId="7471A8C0" w14:textId="77777777" w:rsidR="00017A67" w:rsidRDefault="00493300">
      <w:pPr>
        <w:spacing w:after="120"/>
      </w:pPr>
      <w:r>
        <w:t>Não se criam abreviaturas fora do gerador oficial. Códigos específicos de obra, categoria e disciplina são aprovados na reunião de início de cada contrato.</w:t>
      </w:r>
    </w:p>
    <w:p w14:paraId="4763C8B5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t>4. Campos mínimos do registro de ensaio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017A67" w14:paraId="6B8B5D0F" w14:textId="77777777">
        <w:trPr>
          <w:tblHeader/>
        </w:trPr>
        <w:tc>
          <w:tcPr>
            <w:tcW w:w="2339" w:type="dxa"/>
            <w:shd w:val="clear" w:color="auto" w:fill="F3F2ED"/>
          </w:tcPr>
          <w:p w14:paraId="5A17A470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7016" w:type="dxa"/>
            <w:shd w:val="clear" w:color="auto" w:fill="F3F2ED"/>
          </w:tcPr>
          <w:p w14:paraId="580C50FA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Campos</w:t>
            </w:r>
          </w:p>
        </w:tc>
      </w:tr>
      <w:tr w:rsidR="00017A67" w14:paraId="4C6BDCE9" w14:textId="77777777">
        <w:tc>
          <w:tcPr>
            <w:tcW w:w="2339" w:type="dxa"/>
          </w:tcPr>
          <w:p w14:paraId="5C7E0B46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6A835BF6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OS; família (F1 a F5); finalidade (controle da execução, verificação independente, contraprova, investigação); origem do dado (EXECUTORA ou Concessionária); laboratório</w:t>
            </w:r>
          </w:p>
        </w:tc>
      </w:tr>
      <w:tr w:rsidR="00017A67" w14:paraId="48237013" w14:textId="77777777">
        <w:tc>
          <w:tcPr>
            <w:tcW w:w="2339" w:type="dxa"/>
          </w:tcPr>
          <w:p w14:paraId="6106A9BD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Amostra</w:t>
            </w:r>
          </w:p>
        </w:tc>
        <w:tc>
          <w:tcPr>
            <w:tcW w:w="7016" w:type="dxa"/>
          </w:tcPr>
          <w:p w14:paraId="57AAA25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Identificador; lote; ponto; camada ou elemento; data e hora da coleta; coletor; lacre</w:t>
            </w:r>
          </w:p>
        </w:tc>
      </w:tr>
      <w:tr w:rsidR="00017A67" w14:paraId="167CE23A" w14:textId="77777777">
        <w:tc>
          <w:tcPr>
            <w:tcW w:w="2339" w:type="dxa"/>
          </w:tcPr>
          <w:p w14:paraId="128F5BC7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Localização</w:t>
            </w:r>
          </w:p>
        </w:tc>
        <w:tc>
          <w:tcPr>
            <w:tcW w:w="7016" w:type="dxa"/>
          </w:tcPr>
          <w:p w14:paraId="20C090BA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Rodovia e UF; sentido; faixa; lado; km do PER; km do SNV 202607A; coordenadas SIRGAS 2000; zona; TH; obrigação</w:t>
            </w:r>
          </w:p>
        </w:tc>
      </w:tr>
      <w:tr w:rsidR="00017A67" w14:paraId="669B989A" w14:textId="77777777">
        <w:tc>
          <w:tcPr>
            <w:tcW w:w="2339" w:type="dxa"/>
          </w:tcPr>
          <w:p w14:paraId="4FFF7674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Ensaio</w:t>
            </w:r>
          </w:p>
        </w:tc>
        <w:tc>
          <w:tcPr>
            <w:tcW w:w="7016" w:type="dxa"/>
          </w:tcPr>
          <w:p w14:paraId="16702080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Método e norma com edição; equipamento e calibração; data do ensaio; idade ou condicionamento; condições (temperatura, energia)</w:t>
            </w:r>
          </w:p>
        </w:tc>
      </w:tr>
      <w:tr w:rsidR="00017A67" w14:paraId="11D6B2CC" w14:textId="77777777">
        <w:tc>
          <w:tcPr>
            <w:tcW w:w="2339" w:type="dxa"/>
          </w:tcPr>
          <w:p w14:paraId="7A3A3E6F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Resultado</w:t>
            </w:r>
          </w:p>
        </w:tc>
        <w:tc>
          <w:tcPr>
            <w:tcW w:w="7016" w:type="dxa"/>
          </w:tcPr>
          <w:p w14:paraId="277A1725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Valor; unidade com símbolo; resultados individuais quando o método produzir mais de um; incerteza quando aplicável</w:t>
            </w:r>
          </w:p>
        </w:tc>
      </w:tr>
      <w:tr w:rsidR="00017A67" w14:paraId="7F46D894" w14:textId="77777777">
        <w:tc>
          <w:tcPr>
            <w:tcW w:w="2339" w:type="dxa"/>
          </w:tcPr>
          <w:p w14:paraId="7495F31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Critério</w:t>
            </w:r>
          </w:p>
        </w:tc>
        <w:tc>
          <w:tcPr>
            <w:tcW w:w="7016" w:type="dxa"/>
          </w:tcPr>
          <w:p w14:paraId="379C3916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Limite ou faixa; fonte do critério (projeto, especificação, PER); regra estatística</w:t>
            </w:r>
          </w:p>
        </w:tc>
      </w:tr>
      <w:tr w:rsidR="00017A67" w14:paraId="242383AE" w14:textId="77777777">
        <w:tc>
          <w:tcPr>
            <w:tcW w:w="2339" w:type="dxa"/>
          </w:tcPr>
          <w:p w14:paraId="5BEFB2EE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Conclusão</w:t>
            </w:r>
          </w:p>
        </w:tc>
        <w:tc>
          <w:tcPr>
            <w:tcW w:w="7016" w:type="dxa"/>
          </w:tcPr>
          <w:p w14:paraId="15B03665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Conforme, não conforme ou inválido; RNC vinculado; estado de verificação</w:t>
            </w:r>
          </w:p>
        </w:tc>
      </w:tr>
      <w:tr w:rsidR="00017A67" w14:paraId="2BC5F26A" w14:textId="77777777">
        <w:tc>
          <w:tcPr>
            <w:tcW w:w="2339" w:type="dxa"/>
          </w:tcPr>
          <w:p w14:paraId="017F6C87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Responsabilidade</w:t>
            </w:r>
          </w:p>
        </w:tc>
        <w:tc>
          <w:tcPr>
            <w:tcW w:w="7016" w:type="dxa"/>
          </w:tcPr>
          <w:p w14:paraId="10732102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Responsável técnico; laudo vinculado; versão; data de emissão</w:t>
            </w:r>
          </w:p>
        </w:tc>
      </w:tr>
    </w:tbl>
    <w:p w14:paraId="63F1A3AF" w14:textId="77777777" w:rsidR="00017A67" w:rsidRDefault="00017A67">
      <w:pPr>
        <w:spacing w:after="40"/>
      </w:pPr>
    </w:p>
    <w:p w14:paraId="48216A98" w14:textId="77777777" w:rsidR="00017A67" w:rsidRDefault="00493300">
      <w:pPr>
        <w:spacing w:after="120"/>
      </w:pPr>
      <w:r>
        <w:t>Regras de formato: identificadores estáveis; UTF-8; datas em ISO 8601; reenvio não duplica; correção cria nova versão e preserva a anterior, com motivo.</w:t>
      </w:r>
    </w:p>
    <w:p w14:paraId="45032EAC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t>5. Camadas do acervo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449"/>
        <w:gridCol w:w="2635"/>
        <w:gridCol w:w="2635"/>
        <w:gridCol w:w="2635"/>
      </w:tblGrid>
      <w:tr w:rsidR="00017A67" w14:paraId="081EF065" w14:textId="77777777">
        <w:trPr>
          <w:tblHeader/>
        </w:trPr>
        <w:tc>
          <w:tcPr>
            <w:tcW w:w="1449" w:type="dxa"/>
            <w:shd w:val="clear" w:color="auto" w:fill="F3F2ED"/>
          </w:tcPr>
          <w:p w14:paraId="26225414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2635" w:type="dxa"/>
            <w:shd w:val="clear" w:color="auto" w:fill="F3F2ED"/>
          </w:tcPr>
          <w:p w14:paraId="0E0043B5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  <w:tc>
          <w:tcPr>
            <w:tcW w:w="2635" w:type="dxa"/>
            <w:shd w:val="clear" w:color="auto" w:fill="F3F2ED"/>
          </w:tcPr>
          <w:p w14:paraId="3B323253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Regra de entrada</w:t>
            </w:r>
          </w:p>
        </w:tc>
        <w:tc>
          <w:tcPr>
            <w:tcW w:w="2635" w:type="dxa"/>
            <w:shd w:val="clear" w:color="auto" w:fill="F3F2ED"/>
          </w:tcPr>
          <w:p w14:paraId="0FC15D24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Regra de aceite</w:t>
            </w:r>
          </w:p>
        </w:tc>
      </w:tr>
      <w:tr w:rsidR="00017A67" w14:paraId="6B32CCF0" w14:textId="77777777">
        <w:tc>
          <w:tcPr>
            <w:tcW w:w="1449" w:type="dxa"/>
          </w:tcPr>
          <w:p w14:paraId="25F8FCA7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CDE (Central BIM e sites de zona)</w:t>
            </w:r>
          </w:p>
        </w:tc>
        <w:tc>
          <w:tcPr>
            <w:tcW w:w="2635" w:type="dxa"/>
          </w:tcPr>
          <w:p w14:paraId="5C0161B7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Laudos e relatórios assinados em PDF; PCT; ITP; RNC; Data Books; certificados de calibração; atas</w:t>
            </w:r>
          </w:p>
        </w:tc>
        <w:tc>
          <w:tcPr>
            <w:tcW w:w="2635" w:type="dxa"/>
          </w:tcPr>
          <w:p w14:paraId="3C0E9B86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Estado Em análise, com código CCS</w:t>
            </w:r>
          </w:p>
        </w:tc>
        <w:tc>
          <w:tcPr>
            <w:tcW w:w="2635" w:type="dxa"/>
          </w:tcPr>
          <w:p w14:paraId="177128B1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Fluxo CRA do Caderno BIM; estado Publicado registra o aceite do documento</w:t>
            </w:r>
          </w:p>
        </w:tc>
      </w:tr>
      <w:tr w:rsidR="00017A67" w14:paraId="44BABF7F" w14:textId="77777777">
        <w:tc>
          <w:tcPr>
            <w:tcW w:w="1449" w:type="dxa"/>
          </w:tcPr>
          <w:p w14:paraId="16ED0DB3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2635" w:type="dxa"/>
          </w:tcPr>
          <w:p w14:paraId="1F333EE8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Registros de ensaio em CSV, JSON ou XLSX; dicionário de campos; indicadores</w:t>
            </w:r>
          </w:p>
        </w:tc>
        <w:tc>
          <w:tcPr>
            <w:tcW w:w="2635" w:type="dxa"/>
          </w:tcPr>
          <w:p w14:paraId="0C010A93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Até 1 dia útil da execução ou da emissão; em campo sem conexão, sincronização em 1 dia útil</w:t>
            </w:r>
          </w:p>
        </w:tc>
        <w:tc>
          <w:tcPr>
            <w:tcW w:w="2635" w:type="dxa"/>
          </w:tcPr>
          <w:p w14:paraId="1EFF5709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Rejeição corrigida em 1 dia útil; a plataforma é o registro oficial dos dados</w:t>
            </w:r>
          </w:p>
        </w:tc>
      </w:tr>
      <w:tr w:rsidR="00017A67" w14:paraId="3ACC5E2C" w14:textId="77777777">
        <w:tc>
          <w:tcPr>
            <w:tcW w:w="1449" w:type="dxa"/>
          </w:tcPr>
          <w:p w14:paraId="4B515310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Data Book por obra</w:t>
            </w:r>
          </w:p>
        </w:tc>
        <w:tc>
          <w:tcPr>
            <w:tcW w:w="2635" w:type="dxa"/>
          </w:tcPr>
          <w:p w14:paraId="09EC642F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Índice navegável; ARTs; planos aprovados; calibrações; laudos; RNC; bases editáveis; termos de aceite</w:t>
            </w:r>
          </w:p>
        </w:tc>
        <w:tc>
          <w:tcPr>
            <w:tcW w:w="2635" w:type="dxa"/>
          </w:tcPr>
          <w:p w14:paraId="4CCC0A9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30 dias corridos do término da obra ou da última OS</w:t>
            </w:r>
          </w:p>
        </w:tc>
        <w:tc>
          <w:tcPr>
            <w:tcW w:w="2635" w:type="dxa"/>
          </w:tcPr>
          <w:p w14:paraId="4ABFCA9A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Condição para o recebimento definitivo</w:t>
            </w:r>
          </w:p>
        </w:tc>
      </w:tr>
    </w:tbl>
    <w:p w14:paraId="4D458ADC" w14:textId="77777777" w:rsidR="00017A67" w:rsidRDefault="00017A67">
      <w:pPr>
        <w:spacing w:after="40"/>
      </w:pPr>
    </w:p>
    <w:p w14:paraId="7FED01B2" w14:textId="77777777" w:rsidR="00017A67" w:rsidRDefault="00493300">
      <w:pPr>
        <w:spacing w:after="120"/>
      </w:pPr>
      <w:r>
        <w:t>Enquanto a plataforma de dados não estiver indicada, o CDE recebe também os arquivos editáveis (XLSX e CSV) com os mesmos campos.</w:t>
      </w:r>
    </w:p>
    <w:p w14:paraId="4266F975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6. Data Book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6929"/>
      </w:tblGrid>
      <w:tr w:rsidR="00017A67" w14:paraId="59974087" w14:textId="77777777">
        <w:trPr>
          <w:tblHeader/>
        </w:trPr>
        <w:tc>
          <w:tcPr>
            <w:tcW w:w="2425" w:type="dxa"/>
            <w:shd w:val="clear" w:color="auto" w:fill="F3F2ED"/>
          </w:tcPr>
          <w:p w14:paraId="037CD7A6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Seção</w:t>
            </w:r>
          </w:p>
        </w:tc>
        <w:tc>
          <w:tcPr>
            <w:tcW w:w="6929" w:type="dxa"/>
            <w:shd w:val="clear" w:color="auto" w:fill="F3F2ED"/>
          </w:tcPr>
          <w:p w14:paraId="67699C1F" w14:textId="77777777" w:rsidR="00017A67" w:rsidRDefault="00493300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017A67" w14:paraId="1D7CFD1A" w14:textId="77777777">
        <w:tc>
          <w:tcPr>
            <w:tcW w:w="2425" w:type="dxa"/>
          </w:tcPr>
          <w:p w14:paraId="1A937122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1. Identificação</w:t>
            </w:r>
          </w:p>
        </w:tc>
        <w:tc>
          <w:tcPr>
            <w:tcW w:w="6929" w:type="dxa"/>
          </w:tcPr>
          <w:p w14:paraId="2567E305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Obra; zona; km do PER e km do SNV 202607A; contratos; responsáveis técnicos; ARTs</w:t>
            </w:r>
          </w:p>
        </w:tc>
      </w:tr>
      <w:tr w:rsidR="00017A67" w14:paraId="5C4C09F5" w14:textId="77777777">
        <w:tc>
          <w:tcPr>
            <w:tcW w:w="2425" w:type="dxa"/>
          </w:tcPr>
          <w:p w14:paraId="5F069075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2. Planos</w:t>
            </w:r>
          </w:p>
        </w:tc>
        <w:tc>
          <w:tcPr>
            <w:tcW w:w="6929" w:type="dxa"/>
          </w:tcPr>
          <w:p w14:paraId="19E0B352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PCT e ITP aprovados, com revisões</w:t>
            </w:r>
          </w:p>
        </w:tc>
      </w:tr>
      <w:tr w:rsidR="00017A67" w14:paraId="35B2406A" w14:textId="77777777">
        <w:tc>
          <w:tcPr>
            <w:tcW w:w="2425" w:type="dxa"/>
          </w:tcPr>
          <w:p w14:paraId="6C26EC8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3. Materiais e traços</w:t>
            </w:r>
          </w:p>
        </w:tc>
        <w:tc>
          <w:tcPr>
            <w:tcW w:w="6929" w:type="dxa"/>
          </w:tcPr>
          <w:p w14:paraId="2C4D89F5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Fontes qualificadas; diligências; traços aprovados; certificados</w:t>
            </w:r>
          </w:p>
        </w:tc>
      </w:tr>
      <w:tr w:rsidR="00017A67" w14:paraId="67800ED3" w14:textId="77777777">
        <w:tc>
          <w:tcPr>
            <w:tcW w:w="2425" w:type="dxa"/>
          </w:tcPr>
          <w:p w14:paraId="125DF622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4. Laudos</w:t>
            </w:r>
          </w:p>
        </w:tc>
        <w:tc>
          <w:tcPr>
            <w:tcW w:w="6929" w:type="dxa"/>
          </w:tcPr>
          <w:p w14:paraId="39B81EBD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Por material e lote, com identificador de amostra e resultado</w:t>
            </w:r>
          </w:p>
        </w:tc>
      </w:tr>
      <w:tr w:rsidR="00017A67" w14:paraId="08063E2B" w14:textId="77777777">
        <w:tc>
          <w:tcPr>
            <w:tcW w:w="2425" w:type="dxa"/>
          </w:tcPr>
          <w:p w14:paraId="36C5B082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5. Estatística</w:t>
            </w:r>
          </w:p>
        </w:tc>
        <w:tc>
          <w:tcPr>
            <w:tcW w:w="6929" w:type="dxa"/>
          </w:tcPr>
          <w:p w14:paraId="59114EB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Resumo por lote; cartas de controle; capacidade do processo</w:t>
            </w:r>
          </w:p>
        </w:tc>
      </w:tr>
      <w:tr w:rsidR="00017A67" w14:paraId="63E40F40" w14:textId="77777777">
        <w:tc>
          <w:tcPr>
            <w:tcW w:w="2425" w:type="dxa"/>
          </w:tcPr>
          <w:p w14:paraId="728BB01D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6. Liberações</w:t>
            </w:r>
          </w:p>
        </w:tc>
        <w:tc>
          <w:tcPr>
            <w:tcW w:w="6929" w:type="dxa"/>
          </w:tcPr>
          <w:p w14:paraId="73F04716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Registros de pontos H por etapa</w:t>
            </w:r>
          </w:p>
        </w:tc>
      </w:tr>
      <w:tr w:rsidR="00017A67" w14:paraId="02A3F3FA" w14:textId="77777777">
        <w:tc>
          <w:tcPr>
            <w:tcW w:w="2425" w:type="dxa"/>
          </w:tcPr>
          <w:p w14:paraId="3F29F89F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7. Não conformidades</w:t>
            </w:r>
          </w:p>
        </w:tc>
        <w:tc>
          <w:tcPr>
            <w:tcW w:w="6929" w:type="dxa"/>
          </w:tcPr>
          <w:p w14:paraId="4833B498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Matriz de RNC com disposição, eficácia e encerramento</w:t>
            </w:r>
          </w:p>
        </w:tc>
      </w:tr>
      <w:tr w:rsidR="00017A67" w14:paraId="76BAB5AA" w14:textId="77777777">
        <w:tc>
          <w:tcPr>
            <w:tcW w:w="2425" w:type="dxa"/>
          </w:tcPr>
          <w:p w14:paraId="66D37F9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8. Divergências</w:t>
            </w:r>
          </w:p>
        </w:tc>
        <w:tc>
          <w:tcPr>
            <w:tcW w:w="6929" w:type="dxa"/>
          </w:tcPr>
          <w:p w14:paraId="5AD34995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Atas de contraprova e decisões</w:t>
            </w:r>
          </w:p>
        </w:tc>
      </w:tr>
      <w:tr w:rsidR="00017A67" w14:paraId="1CCD8190" w14:textId="77777777">
        <w:tc>
          <w:tcPr>
            <w:tcW w:w="2425" w:type="dxa"/>
          </w:tcPr>
          <w:p w14:paraId="73D8211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9. Calibração</w:t>
            </w:r>
          </w:p>
        </w:tc>
        <w:tc>
          <w:tcPr>
            <w:tcW w:w="6929" w:type="dxa"/>
          </w:tcPr>
          <w:p w14:paraId="457B0DCE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Certificados dos equipamentos usados</w:t>
            </w:r>
          </w:p>
        </w:tc>
      </w:tr>
      <w:tr w:rsidR="00017A67" w14:paraId="6FC906F7" w14:textId="77777777">
        <w:tc>
          <w:tcPr>
            <w:tcW w:w="2425" w:type="dxa"/>
          </w:tcPr>
          <w:p w14:paraId="12F0301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10. Bases editáveis</w:t>
            </w:r>
          </w:p>
        </w:tc>
        <w:tc>
          <w:tcPr>
            <w:tcW w:w="6929" w:type="dxa"/>
          </w:tcPr>
          <w:p w14:paraId="23723787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Banco de dados completo em formato aberto</w:t>
            </w:r>
          </w:p>
        </w:tc>
      </w:tr>
      <w:tr w:rsidR="00017A67" w14:paraId="4052B2C2" w14:textId="77777777">
        <w:tc>
          <w:tcPr>
            <w:tcW w:w="2425" w:type="dxa"/>
          </w:tcPr>
          <w:p w14:paraId="0E1D122B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11. Aceite</w:t>
            </w:r>
          </w:p>
        </w:tc>
        <w:tc>
          <w:tcPr>
            <w:tcW w:w="6929" w:type="dxa"/>
          </w:tcPr>
          <w:p w14:paraId="0C4EA669" w14:textId="77777777" w:rsidR="00017A67" w:rsidRDefault="00493300">
            <w:pPr>
              <w:spacing w:after="20" w:line="240" w:lineRule="auto"/>
            </w:pPr>
            <w:r>
              <w:rPr>
                <w:sz w:val="18"/>
              </w:rPr>
              <w:t>Termos de aceite por segmento ou lote; relatório final</w:t>
            </w:r>
          </w:p>
        </w:tc>
      </w:tr>
    </w:tbl>
    <w:p w14:paraId="3FA08130" w14:textId="77777777" w:rsidR="00017A67" w:rsidRDefault="00017A67">
      <w:pPr>
        <w:spacing w:after="40"/>
      </w:pPr>
    </w:p>
    <w:p w14:paraId="0B88D792" w14:textId="77777777" w:rsidR="00017A67" w:rsidRDefault="00493300">
      <w:pPr>
        <w:pStyle w:val="Ttulo1"/>
        <w:spacing w:before="280" w:after="120"/>
      </w:pPr>
      <w:r>
        <w:rPr>
          <w:rFonts w:ascii="Calibri" w:eastAsia="Calibri" w:hAnsi="Calibri" w:cs="Calibri"/>
        </w:rPr>
        <w:t>7. Propriedade e eliminação</w:t>
      </w:r>
    </w:p>
    <w:p w14:paraId="1BC2BA4F" w14:textId="77777777" w:rsidR="00017A67" w:rsidRDefault="00493300">
      <w:pPr>
        <w:spacing w:after="120"/>
      </w:pPr>
      <w:r>
        <w:t>Os dados pertencem à Concessionária. Laboratório e EXECUTORA mantêm cópia de trabalho pelo prazo de guarda, em ambiente segregado e com credenciais nominais. Ao término do contrato, exportam a base completa em formato aberto e emitem termo de eliminação das cópias não sujeitas a guarda. Nenhuma cópia é eliminada com RNC aberto, controvérsia ou litígio conhecido.</w:t>
      </w:r>
    </w:p>
    <w:sectPr w:rsidR="00017A67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42A86" w14:textId="77777777" w:rsidR="00493300" w:rsidRDefault="00493300">
      <w:pPr>
        <w:spacing w:after="0" w:line="240" w:lineRule="auto"/>
      </w:pPr>
      <w:r>
        <w:separator/>
      </w:r>
    </w:p>
  </w:endnote>
  <w:endnote w:type="continuationSeparator" w:id="0">
    <w:p w14:paraId="3E2BBDF5" w14:textId="77777777" w:rsidR="00493300" w:rsidRDefault="004933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017A67" w14:paraId="0385A5CC" w14:textId="77777777">
      <w:tc>
        <w:tcPr>
          <w:tcW w:w="7937" w:type="dxa"/>
          <w:tcBorders>
            <w:bottom w:val="single" w:sz="12" w:space="0" w:color="F5BA00"/>
          </w:tcBorders>
        </w:tcPr>
        <w:p w14:paraId="54A776F6" w14:textId="77777777" w:rsidR="00017A67" w:rsidRDefault="00017A67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378BA6AA" w14:textId="77777777" w:rsidR="00017A67" w:rsidRDefault="00017A67">
          <w:pPr>
            <w:spacing w:after="0" w:line="40" w:lineRule="exact"/>
          </w:pPr>
        </w:p>
      </w:tc>
    </w:tr>
  </w:tbl>
  <w:p w14:paraId="39363503" w14:textId="77777777" w:rsidR="00017A67" w:rsidRDefault="00493300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6F9C8CE1" w14:textId="77777777" w:rsidR="00017A67" w:rsidRDefault="00493300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63D576F1" w14:textId="77777777" w:rsidR="00017A67" w:rsidRDefault="00493300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65470" w14:textId="77777777" w:rsidR="00493300" w:rsidRDefault="00493300">
      <w:pPr>
        <w:spacing w:after="0" w:line="240" w:lineRule="auto"/>
      </w:pPr>
      <w:r>
        <w:separator/>
      </w:r>
    </w:p>
  </w:footnote>
  <w:footnote w:type="continuationSeparator" w:id="0">
    <w:p w14:paraId="3F45F6B5" w14:textId="77777777" w:rsidR="00493300" w:rsidRDefault="004933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B539A" w14:textId="77777777" w:rsidR="00017A67" w:rsidRDefault="00493300">
    <w:r>
      <w:rPr>
        <w:noProof/>
      </w:rPr>
      <w:drawing>
        <wp:inline distT="0" distB="0" distL="0" distR="0" wp14:anchorId="643328D6" wp14:editId="19B279A7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9148461">
    <w:abstractNumId w:val="8"/>
  </w:num>
  <w:num w:numId="2" w16cid:durableId="1075397462">
    <w:abstractNumId w:val="6"/>
  </w:num>
  <w:num w:numId="3" w16cid:durableId="251860718">
    <w:abstractNumId w:val="5"/>
  </w:num>
  <w:num w:numId="4" w16cid:durableId="1709719837">
    <w:abstractNumId w:val="4"/>
  </w:num>
  <w:num w:numId="5" w16cid:durableId="546180740">
    <w:abstractNumId w:val="7"/>
  </w:num>
  <w:num w:numId="6" w16cid:durableId="1132937838">
    <w:abstractNumId w:val="3"/>
  </w:num>
  <w:num w:numId="7" w16cid:durableId="1467814431">
    <w:abstractNumId w:val="2"/>
  </w:num>
  <w:num w:numId="8" w16cid:durableId="2014330898">
    <w:abstractNumId w:val="1"/>
  </w:num>
  <w:num w:numId="9" w16cid:durableId="1852790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67"/>
    <w:rsid w:val="00034616"/>
    <w:rsid w:val="0006063C"/>
    <w:rsid w:val="0015074B"/>
    <w:rsid w:val="0029639D"/>
    <w:rsid w:val="00326F90"/>
    <w:rsid w:val="00436CA5"/>
    <w:rsid w:val="00493300"/>
    <w:rsid w:val="00991A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8F82F9"/>
  <w14:defaultImageDpi w14:val="300"/>
  <w15:docId w15:val="{DD10AFF6-7C84-4EEA-96D6-013C692BE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810</Words>
  <Characters>4534</Characters>
  <Application>Microsoft Office Word</Application>
  <DocSecurity>0</DocSecurity>
  <Lines>167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Rastreabilidade e acervo R00</dc:title>
  <dc:subject>Política de Controle Tecnológico de Obras</dc:subject>
  <dc:creator>Concessionária 116 Sertões S.A.</dc:creator>
  <cp:keywords>POL-CT-116-A4;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2026-10-18T15:01:00Z</dcterms:modified>
  <cp:category/>
  <cp:version>R00</cp:version>
</cp:coreProperties>
</file>