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6E903" w14:textId="77777777" w:rsidR="00BE6909" w:rsidRDefault="00D82D82">
      <w:r>
        <w:rPr>
          <w:b/>
          <w:color w:val="617177"/>
        </w:rPr>
        <w:t>ANEXO 4 DA POLÍTICA DE CONTROLE TECNOLÓGICO DE OBRAS</w:t>
      </w:r>
    </w:p>
    <w:p w14:paraId="4325F4B4" w14:textId="77777777" w:rsidR="00BE6909" w:rsidRDefault="00D82D82">
      <w:pPr>
        <w:spacing w:before="80"/>
      </w:pPr>
      <w:r>
        <w:rPr>
          <w:b/>
          <w:sz w:val="36"/>
        </w:rPr>
        <w:t>Rastreabilidade e acervo</w:t>
      </w:r>
    </w:p>
    <w:p w14:paraId="2229645A" w14:textId="77777777" w:rsidR="00BE6909" w:rsidRDefault="00D82D82">
      <w:pPr>
        <w:spacing w:before="160"/>
      </w:pPr>
      <w:r>
        <w:rPr>
          <w:color w:val="617177"/>
          <w:sz w:val="21"/>
        </w:rPr>
        <w:t>Código POL-CT-116-A4 · Revisão R00 · 17/10/2026 · Status PR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4677"/>
      </w:tblGrid>
      <w:tr w:rsidR="00BE6909" w14:paraId="31BECE34" w14:textId="77777777">
        <w:trPr>
          <w:tblHeader/>
        </w:trPr>
        <w:tc>
          <w:tcPr>
            <w:tcW w:w="1559" w:type="dxa"/>
            <w:shd w:val="clear" w:color="auto" w:fill="F3F2ED"/>
          </w:tcPr>
          <w:p w14:paraId="28FB84B3" w14:textId="77777777" w:rsidR="00BE6909" w:rsidRDefault="00D82D82">
            <w:pPr>
              <w:spacing w:after="20" w:line="240" w:lineRule="auto"/>
            </w:pPr>
            <w:r>
              <w:rPr>
                <w:b/>
                <w:sz w:val="19"/>
              </w:rPr>
              <w:t>Rev.</w:t>
            </w:r>
          </w:p>
        </w:tc>
        <w:tc>
          <w:tcPr>
            <w:tcW w:w="1559" w:type="dxa"/>
            <w:shd w:val="clear" w:color="auto" w:fill="F3F2ED"/>
          </w:tcPr>
          <w:p w14:paraId="541E7CC0" w14:textId="77777777" w:rsidR="00BE6909" w:rsidRDefault="00D82D82">
            <w:pPr>
              <w:spacing w:after="20" w:line="240" w:lineRule="auto"/>
            </w:pPr>
            <w:r>
              <w:rPr>
                <w:b/>
                <w:sz w:val="19"/>
              </w:rPr>
              <w:t>Data</w:t>
            </w:r>
          </w:p>
        </w:tc>
        <w:tc>
          <w:tcPr>
            <w:tcW w:w="1559" w:type="dxa"/>
            <w:shd w:val="clear" w:color="auto" w:fill="F3F2ED"/>
          </w:tcPr>
          <w:p w14:paraId="30A4B4A8" w14:textId="77777777" w:rsidR="00BE6909" w:rsidRDefault="00D82D82">
            <w:pPr>
              <w:spacing w:after="20" w:line="240" w:lineRule="auto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4677" w:type="dxa"/>
            <w:shd w:val="clear" w:color="auto" w:fill="F3F2ED"/>
          </w:tcPr>
          <w:p w14:paraId="39B361E1" w14:textId="77777777" w:rsidR="00BE6909" w:rsidRDefault="00D82D82">
            <w:pPr>
              <w:spacing w:after="20" w:line="240" w:lineRule="auto"/>
            </w:pPr>
            <w:r>
              <w:rPr>
                <w:b/>
                <w:sz w:val="19"/>
              </w:rPr>
              <w:t>Descrição</w:t>
            </w:r>
          </w:p>
        </w:tc>
      </w:tr>
      <w:tr w:rsidR="00BE6909" w14:paraId="1D4E957E" w14:textId="77777777">
        <w:tc>
          <w:tcPr>
            <w:tcW w:w="1559" w:type="dxa"/>
          </w:tcPr>
          <w:p w14:paraId="7FF97615" w14:textId="77777777" w:rsidR="00BE6909" w:rsidRDefault="00D82D82">
            <w:pPr>
              <w:spacing w:after="20" w:line="240" w:lineRule="auto"/>
            </w:pPr>
            <w:r>
              <w:rPr>
                <w:sz w:val="19"/>
              </w:rPr>
              <w:t>R00</w:t>
            </w:r>
          </w:p>
        </w:tc>
        <w:tc>
          <w:tcPr>
            <w:tcW w:w="1559" w:type="dxa"/>
          </w:tcPr>
          <w:p w14:paraId="2033F1A0" w14:textId="77777777" w:rsidR="00BE6909" w:rsidRDefault="00D82D82">
            <w:pPr>
              <w:spacing w:after="20" w:line="240" w:lineRule="auto"/>
            </w:pPr>
            <w:r>
              <w:rPr>
                <w:sz w:val="19"/>
              </w:rPr>
              <w:t>17/10/2026</w:t>
            </w:r>
          </w:p>
        </w:tc>
        <w:tc>
          <w:tcPr>
            <w:tcW w:w="1559" w:type="dxa"/>
          </w:tcPr>
          <w:p w14:paraId="03C9537B" w14:textId="77777777" w:rsidR="00BE6909" w:rsidRDefault="00D82D82">
            <w:pPr>
              <w:spacing w:after="20" w:line="240" w:lineRule="auto"/>
            </w:pPr>
            <w:r>
              <w:rPr>
                <w:sz w:val="19"/>
              </w:rPr>
              <w:t>PR</w:t>
            </w:r>
          </w:p>
        </w:tc>
        <w:tc>
          <w:tcPr>
            <w:tcW w:w="4677" w:type="dxa"/>
          </w:tcPr>
          <w:p w14:paraId="5D944CAE" w14:textId="77777777" w:rsidR="00BE6909" w:rsidRDefault="00D82D82">
            <w:pPr>
              <w:spacing w:after="20" w:line="240" w:lineRule="auto"/>
            </w:pPr>
            <w:r>
              <w:rPr>
                <w:sz w:val="19"/>
              </w:rPr>
              <w:t>Emissão inicial, junto com a Política de Controle Tecnológico R00</w:t>
            </w:r>
          </w:p>
        </w:tc>
      </w:tr>
    </w:tbl>
    <w:p w14:paraId="6AC9B3ED" w14:textId="77777777" w:rsidR="00BE6909" w:rsidRDefault="00BE6909">
      <w:pPr>
        <w:spacing w:after="40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BE6909" w14:paraId="5304F46F" w14:textId="77777777">
        <w:trPr>
          <w:tblHeader/>
        </w:trPr>
        <w:tc>
          <w:tcPr>
            <w:tcW w:w="4677" w:type="dxa"/>
            <w:shd w:val="clear" w:color="auto" w:fill="F3F2ED"/>
          </w:tcPr>
          <w:p w14:paraId="57086AEE" w14:textId="77777777" w:rsidR="00BE6909" w:rsidRDefault="00D82D82">
            <w:pPr>
              <w:spacing w:after="20" w:line="240" w:lineRule="auto"/>
            </w:pPr>
            <w:r>
              <w:rPr>
                <w:b/>
                <w:sz w:val="19"/>
              </w:rPr>
              <w:t>Elaboração</w:t>
            </w:r>
          </w:p>
        </w:tc>
        <w:tc>
          <w:tcPr>
            <w:tcW w:w="4677" w:type="dxa"/>
            <w:shd w:val="clear" w:color="auto" w:fill="F3F2ED"/>
          </w:tcPr>
          <w:p w14:paraId="78FB1296" w14:textId="77777777" w:rsidR="00BE6909" w:rsidRDefault="00D82D82">
            <w:pPr>
              <w:spacing w:after="20" w:line="240" w:lineRule="auto"/>
            </w:pPr>
            <w:r>
              <w:rPr>
                <w:b/>
                <w:sz w:val="19"/>
              </w:rPr>
              <w:t>Aprovação</w:t>
            </w:r>
          </w:p>
        </w:tc>
      </w:tr>
      <w:tr w:rsidR="00BE6909" w14:paraId="28843ADC" w14:textId="77777777">
        <w:tc>
          <w:tcPr>
            <w:tcW w:w="4677" w:type="dxa"/>
          </w:tcPr>
          <w:p w14:paraId="00222E8E" w14:textId="77777777" w:rsidR="00BE6909" w:rsidRDefault="00D82D82">
            <w:pPr>
              <w:spacing w:after="20" w:line="240" w:lineRule="auto"/>
            </w:pPr>
            <w:r>
              <w:rPr>
                <w:sz w:val="19"/>
              </w:rPr>
              <w:t>Coordenação de Pavimento e Controle Tecnológico</w:t>
            </w:r>
            <w:r>
              <w:br/>
            </w:r>
            <w:r>
              <w:rPr>
                <w:sz w:val="19"/>
              </w:rPr>
              <w:t>Assinatura/data: [a assinar na emissão]</w:t>
            </w:r>
          </w:p>
        </w:tc>
        <w:tc>
          <w:tcPr>
            <w:tcW w:w="4677" w:type="dxa"/>
          </w:tcPr>
          <w:p w14:paraId="3A60A41A" w14:textId="77777777" w:rsidR="00BE6909" w:rsidRDefault="00D82D82">
            <w:pPr>
              <w:spacing w:after="20" w:line="240" w:lineRule="auto"/>
            </w:pPr>
            <w:r>
              <w:rPr>
                <w:sz w:val="19"/>
              </w:rPr>
              <w:t>Danillo Oliveira, Gerente de Engenharia e Qualidade</w:t>
            </w:r>
            <w:r>
              <w:br/>
            </w:r>
            <w:r>
              <w:rPr>
                <w:sz w:val="19"/>
              </w:rPr>
              <w:t>Assinatura/data: [a assinar na emissão]</w:t>
            </w:r>
          </w:p>
        </w:tc>
      </w:tr>
    </w:tbl>
    <w:p w14:paraId="73D2E1BC" w14:textId="77777777" w:rsidR="00BE6909" w:rsidRDefault="00BE6909">
      <w:pPr>
        <w:spacing w:after="40"/>
      </w:pPr>
    </w:p>
    <w:p w14:paraId="7C2AE500" w14:textId="77777777" w:rsidR="00BE6909" w:rsidRDefault="00BE6909"/>
    <w:p w14:paraId="14A02D02" w14:textId="77777777" w:rsidR="00BE6909" w:rsidRDefault="00D82D82">
      <w:pPr>
        <w:pStyle w:val="Ttulo1"/>
        <w:spacing w:before="280" w:after="120"/>
      </w:pPr>
      <w:r>
        <w:rPr>
          <w:rFonts w:ascii="Calibri" w:eastAsia="Calibri" w:hAnsi="Calibri" w:cs="Calibri"/>
        </w:rPr>
        <w:t>1. Objeto</w:t>
      </w:r>
    </w:p>
    <w:p w14:paraId="5FEB70E1" w14:textId="77777777" w:rsidR="00BE6909" w:rsidRDefault="00D82D82">
      <w:pPr>
        <w:spacing w:after="120"/>
      </w:pPr>
      <w:r>
        <w:t>Este anexo detalha a seção 14 da Política de Controle Tecnológico de Obras: localização, codificação, campos mínimos do registro de ensaio, camadas do acervo e Data Book.</w:t>
      </w:r>
    </w:p>
    <w:p w14:paraId="665648B2" w14:textId="77777777" w:rsidR="00BE6909" w:rsidRDefault="00D82D82">
      <w:pPr>
        <w:pStyle w:val="Ttulo1"/>
        <w:spacing w:before="280" w:after="120"/>
      </w:pPr>
      <w:r>
        <w:rPr>
          <w:rFonts w:ascii="Calibri" w:eastAsia="Calibri" w:hAnsi="Calibri" w:cs="Calibri"/>
        </w:rPr>
        <w:t>2. Localização</w:t>
      </w:r>
    </w:p>
    <w:p w14:paraId="172FB028" w14:textId="77777777" w:rsidR="00BE6909" w:rsidRDefault="00D82D82">
      <w:pPr>
        <w:spacing w:after="120"/>
      </w:pPr>
      <w:r>
        <w:t>Todo registro de amostra, ensaio, laudo, RNC e diligência traz: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319"/>
        <w:gridCol w:w="6035"/>
      </w:tblGrid>
      <w:tr w:rsidR="00BE6909" w14:paraId="33525095" w14:textId="77777777">
        <w:trPr>
          <w:tblHeader/>
        </w:trPr>
        <w:tc>
          <w:tcPr>
            <w:tcW w:w="3319" w:type="dxa"/>
            <w:shd w:val="clear" w:color="auto" w:fill="F3F2ED"/>
          </w:tcPr>
          <w:p w14:paraId="1B8599B1" w14:textId="77777777" w:rsidR="00BE6909" w:rsidRDefault="00D82D82">
            <w:pPr>
              <w:spacing w:after="20" w:line="240" w:lineRule="auto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6035" w:type="dxa"/>
            <w:shd w:val="clear" w:color="auto" w:fill="F3F2ED"/>
          </w:tcPr>
          <w:p w14:paraId="6F65E6C0" w14:textId="77777777" w:rsidR="00BE6909" w:rsidRDefault="00D82D82">
            <w:pPr>
              <w:spacing w:after="20" w:line="240" w:lineRule="auto"/>
            </w:pPr>
            <w:r>
              <w:rPr>
                <w:b/>
                <w:sz w:val="18"/>
              </w:rPr>
              <w:t>Regra</w:t>
            </w:r>
          </w:p>
        </w:tc>
      </w:tr>
      <w:tr w:rsidR="00BE6909" w14:paraId="129E3A2D" w14:textId="77777777">
        <w:tc>
          <w:tcPr>
            <w:tcW w:w="3319" w:type="dxa"/>
          </w:tcPr>
          <w:p w14:paraId="77EA2F47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Rodovia e UF</w:t>
            </w:r>
          </w:p>
        </w:tc>
        <w:tc>
          <w:tcPr>
            <w:tcW w:w="6035" w:type="dxa"/>
          </w:tcPr>
          <w:p w14:paraId="6E24BE1C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BR-116/PE, BR-116/BA ou BR-324/BA</w:t>
            </w:r>
          </w:p>
        </w:tc>
      </w:tr>
      <w:tr w:rsidR="00BE6909" w14:paraId="03DD443C" w14:textId="77777777">
        <w:tc>
          <w:tcPr>
            <w:tcW w:w="3319" w:type="dxa"/>
          </w:tcPr>
          <w:p w14:paraId="5B2A8984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Sentido, faixa, lado</w:t>
            </w:r>
          </w:p>
        </w:tc>
        <w:tc>
          <w:tcPr>
            <w:tcW w:w="6035" w:type="dxa"/>
          </w:tcPr>
          <w:p w14:paraId="09EA7D80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Conforme a convenção da lista mestre do acervo de projetos</w:t>
            </w:r>
          </w:p>
        </w:tc>
      </w:tr>
      <w:tr w:rsidR="00BE6909" w14:paraId="274CD03C" w14:textId="77777777">
        <w:tc>
          <w:tcPr>
            <w:tcW w:w="3319" w:type="dxa"/>
          </w:tcPr>
          <w:p w14:paraId="5A8F7621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km do PER</w:t>
            </w:r>
          </w:p>
        </w:tc>
        <w:tc>
          <w:tcPr>
            <w:tcW w:w="6035" w:type="dxa"/>
          </w:tcPr>
          <w:p w14:paraId="4CB3C301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PER Vol. II ajustado pós-leilão, Tabela 1; formato km 123,400</w:t>
            </w:r>
          </w:p>
        </w:tc>
      </w:tr>
      <w:tr w:rsidR="00BE6909" w14:paraId="3FF0ECC2" w14:textId="77777777">
        <w:tc>
          <w:tcPr>
            <w:tcW w:w="3319" w:type="dxa"/>
          </w:tcPr>
          <w:p w14:paraId="48DD6397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km do SNV</w:t>
            </w:r>
          </w:p>
        </w:tc>
        <w:tc>
          <w:tcPr>
            <w:tcW w:w="6035" w:type="dxa"/>
          </w:tcPr>
          <w:p w14:paraId="704270DE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SNV DNIT 202607A; formato km 124,150; convertido pela base de marcos da Concessionária, sem deslocamento único para toda a malha</w:t>
            </w:r>
          </w:p>
        </w:tc>
      </w:tr>
      <w:tr w:rsidR="00BE6909" w14:paraId="66EEE7D9" w14:textId="77777777">
        <w:tc>
          <w:tcPr>
            <w:tcW w:w="3319" w:type="dxa"/>
          </w:tcPr>
          <w:p w14:paraId="18B7AEE9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Coordenadas</w:t>
            </w:r>
          </w:p>
        </w:tc>
        <w:tc>
          <w:tcPr>
            <w:tcW w:w="6035" w:type="dxa"/>
          </w:tcPr>
          <w:p w14:paraId="59BDF1B7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SIRGAS 2000; em UTM, com fuso e hemisfério; precisão do levantamento declarada</w:t>
            </w:r>
          </w:p>
        </w:tc>
      </w:tr>
      <w:tr w:rsidR="00BE6909" w14:paraId="7A3343D5" w14:textId="77777777">
        <w:tc>
          <w:tcPr>
            <w:tcW w:w="3319" w:type="dxa"/>
          </w:tcPr>
          <w:p w14:paraId="76415F06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Zona, trecho homogêneo, obrigação</w:t>
            </w:r>
          </w:p>
        </w:tc>
        <w:tc>
          <w:tcPr>
            <w:tcW w:w="6035" w:type="dxa"/>
          </w:tcPr>
          <w:p w14:paraId="44E7584C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Conforme a lista mestre do acervo de projetos (Zona &gt; TH &gt; Obrigação)</w:t>
            </w:r>
          </w:p>
        </w:tc>
      </w:tr>
      <w:tr w:rsidR="00BE6909" w14:paraId="25FA0585" w14:textId="77777777">
        <w:tc>
          <w:tcPr>
            <w:tcW w:w="3319" w:type="dxa"/>
          </w:tcPr>
          <w:p w14:paraId="1BBE359F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Camada ou elemento</w:t>
            </w:r>
          </w:p>
        </w:tc>
        <w:tc>
          <w:tcPr>
            <w:tcW w:w="6035" w:type="dxa"/>
          </w:tcPr>
          <w:p w14:paraId="6B1BD652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Subleito, reforço, sub-base, base, binder, rolamento; ou elemento estrutural identificado no projeto</w:t>
            </w:r>
          </w:p>
        </w:tc>
      </w:tr>
    </w:tbl>
    <w:p w14:paraId="03B2915E" w14:textId="77777777" w:rsidR="00BE6909" w:rsidRDefault="00BE6909">
      <w:pPr>
        <w:spacing w:after="40"/>
      </w:pPr>
    </w:p>
    <w:p w14:paraId="747F72A6" w14:textId="77777777" w:rsidR="00BE6909" w:rsidRDefault="00D82D82">
      <w:pPr>
        <w:spacing w:after="120"/>
      </w:pPr>
      <w:r>
        <w:t>Formato de km no texto: km 123,400 PER / 124,150 SNV. Atualização cadastral de km preserva a coordenada e a identificação física do ponto.</w:t>
      </w:r>
    </w:p>
    <w:p w14:paraId="585E50A6" w14:textId="77777777" w:rsidR="00BE6909" w:rsidRDefault="00D82D82">
      <w:pPr>
        <w:pStyle w:val="Ttulo1"/>
        <w:spacing w:before="280" w:after="120"/>
      </w:pPr>
      <w:r>
        <w:rPr>
          <w:rFonts w:ascii="Calibri" w:eastAsia="Calibri" w:hAnsi="Calibri" w:cs="Calibri"/>
        </w:rPr>
        <w:t>3. Codificação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205"/>
        <w:gridCol w:w="5149"/>
      </w:tblGrid>
      <w:tr w:rsidR="00BE6909" w14:paraId="38185AA8" w14:textId="77777777">
        <w:trPr>
          <w:tblHeader/>
        </w:trPr>
        <w:tc>
          <w:tcPr>
            <w:tcW w:w="4205" w:type="dxa"/>
            <w:shd w:val="clear" w:color="auto" w:fill="F3F2ED"/>
          </w:tcPr>
          <w:p w14:paraId="3548E45F" w14:textId="77777777" w:rsidR="00BE6909" w:rsidRDefault="00D82D82">
            <w:pPr>
              <w:spacing w:after="20" w:line="240" w:lineRule="auto"/>
            </w:pPr>
            <w:r>
              <w:rPr>
                <w:b/>
                <w:sz w:val="18"/>
              </w:rPr>
              <w:t>Objeto</w:t>
            </w:r>
          </w:p>
        </w:tc>
        <w:tc>
          <w:tcPr>
            <w:tcW w:w="5149" w:type="dxa"/>
            <w:shd w:val="clear" w:color="auto" w:fill="F3F2ED"/>
          </w:tcPr>
          <w:p w14:paraId="486DD1D9" w14:textId="77777777" w:rsidR="00BE6909" w:rsidRDefault="00D82D82">
            <w:pPr>
              <w:spacing w:after="20" w:line="240" w:lineRule="auto"/>
            </w:pPr>
            <w:r>
              <w:rPr>
                <w:b/>
                <w:sz w:val="18"/>
              </w:rPr>
              <w:t>Código</w:t>
            </w:r>
          </w:p>
        </w:tc>
      </w:tr>
      <w:tr w:rsidR="00BE6909" w14:paraId="6C27BE83" w14:textId="77777777">
        <w:tc>
          <w:tcPr>
            <w:tcW w:w="4205" w:type="dxa"/>
          </w:tcPr>
          <w:p w14:paraId="195ABD4B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Documento (laudo, relatório, PCT, ITP, Data Book)</w:t>
            </w:r>
          </w:p>
        </w:tc>
        <w:tc>
          <w:tcPr>
            <w:tcW w:w="5149" w:type="dxa"/>
          </w:tcPr>
          <w:p w14:paraId="491CAD0E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Código CCS conforme o Anexo A.3 do Caderno BIM 116 Sertões, com revisão, categoria e disciplina; gerador oficial da Central BIM</w:t>
            </w:r>
          </w:p>
        </w:tc>
      </w:tr>
      <w:tr w:rsidR="00BE6909" w14:paraId="6C432ACD" w14:textId="77777777">
        <w:tc>
          <w:tcPr>
            <w:tcW w:w="4205" w:type="dxa"/>
          </w:tcPr>
          <w:p w14:paraId="4BC48BEB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lastRenderedPageBreak/>
              <w:t>Amostra</w:t>
            </w:r>
          </w:p>
        </w:tc>
        <w:tc>
          <w:tcPr>
            <w:tcW w:w="5149" w:type="dxa"/>
          </w:tcPr>
          <w:p w14:paraId="4E38989A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AM-ZZ-OSNNN-AAAAMMDD-SSS-F (Anexo 1)</w:t>
            </w:r>
          </w:p>
        </w:tc>
      </w:tr>
      <w:tr w:rsidR="00BE6909" w14:paraId="56A8DDFB" w14:textId="77777777">
        <w:tc>
          <w:tcPr>
            <w:tcW w:w="4205" w:type="dxa"/>
          </w:tcPr>
          <w:p w14:paraId="67CDF906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RNC</w:t>
            </w:r>
          </w:p>
        </w:tc>
        <w:tc>
          <w:tcPr>
            <w:tcW w:w="5149" w:type="dxa"/>
          </w:tcPr>
          <w:p w14:paraId="63D75370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RNC-ZZ-AAAA-NNN (Anexo 2)</w:t>
            </w:r>
          </w:p>
        </w:tc>
      </w:tr>
      <w:tr w:rsidR="00BE6909" w14:paraId="57912A97" w14:textId="77777777">
        <w:tc>
          <w:tcPr>
            <w:tcW w:w="4205" w:type="dxa"/>
          </w:tcPr>
          <w:p w14:paraId="2758CE69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Ordem de serviço</w:t>
            </w:r>
          </w:p>
        </w:tc>
        <w:tc>
          <w:tcPr>
            <w:tcW w:w="5149" w:type="dxa"/>
          </w:tcPr>
          <w:p w14:paraId="14F35F06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Numeração do contrato de laboratório, citada em todo registro derivado</w:t>
            </w:r>
          </w:p>
        </w:tc>
      </w:tr>
      <w:tr w:rsidR="00BE6909" w14:paraId="4E5050AC" w14:textId="77777777">
        <w:tc>
          <w:tcPr>
            <w:tcW w:w="4205" w:type="dxa"/>
          </w:tcPr>
          <w:p w14:paraId="771BD2A5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Lote</w:t>
            </w:r>
          </w:p>
        </w:tc>
        <w:tc>
          <w:tcPr>
            <w:tcW w:w="5149" w:type="dxa"/>
          </w:tcPr>
          <w:p w14:paraId="016D0473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Identificador do PCT: material, camada, trecho, data e processo</w:t>
            </w:r>
          </w:p>
        </w:tc>
      </w:tr>
    </w:tbl>
    <w:p w14:paraId="7A33A65B" w14:textId="77777777" w:rsidR="00BE6909" w:rsidRDefault="00BE6909">
      <w:pPr>
        <w:spacing w:after="40"/>
      </w:pPr>
    </w:p>
    <w:p w14:paraId="2A81EE7D" w14:textId="77777777" w:rsidR="00BE6909" w:rsidRDefault="00D82D82">
      <w:pPr>
        <w:spacing w:after="120"/>
      </w:pPr>
      <w:r>
        <w:t>Não se criam abreviaturas fora do gerador oficial. Códigos específicos de obra, categoria e disciplina são aprovados na reunião de início de cada contrato.</w:t>
      </w:r>
    </w:p>
    <w:p w14:paraId="55A70DF2" w14:textId="77777777" w:rsidR="00BE6909" w:rsidRDefault="00D82D82">
      <w:pPr>
        <w:pStyle w:val="Ttulo1"/>
        <w:spacing w:before="280" w:after="120"/>
      </w:pPr>
      <w:r>
        <w:rPr>
          <w:rFonts w:ascii="Calibri" w:eastAsia="Calibri" w:hAnsi="Calibri" w:cs="Calibri"/>
        </w:rPr>
        <w:t>4. Campos mínimos do registro de ensaio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39"/>
        <w:gridCol w:w="7016"/>
      </w:tblGrid>
      <w:tr w:rsidR="00BE6909" w14:paraId="3FB5BB26" w14:textId="77777777">
        <w:trPr>
          <w:tblHeader/>
        </w:trPr>
        <w:tc>
          <w:tcPr>
            <w:tcW w:w="2339" w:type="dxa"/>
            <w:shd w:val="clear" w:color="auto" w:fill="F3F2ED"/>
          </w:tcPr>
          <w:p w14:paraId="04CEE345" w14:textId="77777777" w:rsidR="00BE6909" w:rsidRDefault="00D82D82">
            <w:pPr>
              <w:spacing w:after="20" w:line="240" w:lineRule="auto"/>
            </w:pPr>
            <w:r>
              <w:rPr>
                <w:b/>
                <w:sz w:val="18"/>
              </w:rPr>
              <w:t>Grupo</w:t>
            </w:r>
          </w:p>
        </w:tc>
        <w:tc>
          <w:tcPr>
            <w:tcW w:w="7016" w:type="dxa"/>
            <w:shd w:val="clear" w:color="auto" w:fill="F3F2ED"/>
          </w:tcPr>
          <w:p w14:paraId="0FF18631" w14:textId="77777777" w:rsidR="00BE6909" w:rsidRDefault="00D82D82">
            <w:pPr>
              <w:spacing w:after="20" w:line="240" w:lineRule="auto"/>
            </w:pPr>
            <w:r>
              <w:rPr>
                <w:b/>
                <w:sz w:val="18"/>
              </w:rPr>
              <w:t>Campos</w:t>
            </w:r>
          </w:p>
        </w:tc>
      </w:tr>
      <w:tr w:rsidR="00BE6909" w14:paraId="6972270E" w14:textId="77777777">
        <w:tc>
          <w:tcPr>
            <w:tcW w:w="2339" w:type="dxa"/>
          </w:tcPr>
          <w:p w14:paraId="39D9873B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Identificação</w:t>
            </w:r>
          </w:p>
        </w:tc>
        <w:tc>
          <w:tcPr>
            <w:tcW w:w="7016" w:type="dxa"/>
          </w:tcPr>
          <w:p w14:paraId="6925C7E2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OS; família (F1 a F5); finalidade (controle da execução, verificação independente, contraprova, investigação); origem do dado (EXECUTORA ou Concessionária); laboratório</w:t>
            </w:r>
          </w:p>
        </w:tc>
      </w:tr>
      <w:tr w:rsidR="00BE6909" w14:paraId="6605940A" w14:textId="77777777">
        <w:tc>
          <w:tcPr>
            <w:tcW w:w="2339" w:type="dxa"/>
          </w:tcPr>
          <w:p w14:paraId="5B512AE3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Amostra</w:t>
            </w:r>
          </w:p>
        </w:tc>
        <w:tc>
          <w:tcPr>
            <w:tcW w:w="7016" w:type="dxa"/>
          </w:tcPr>
          <w:p w14:paraId="53E72865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Identificador; lote; ponto; camada ou elemento; data e hora da coleta; coletor; lacre</w:t>
            </w:r>
          </w:p>
        </w:tc>
      </w:tr>
      <w:tr w:rsidR="00BE6909" w14:paraId="6A9FEC3A" w14:textId="77777777">
        <w:tc>
          <w:tcPr>
            <w:tcW w:w="2339" w:type="dxa"/>
          </w:tcPr>
          <w:p w14:paraId="7F0D2C4E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Localização</w:t>
            </w:r>
          </w:p>
        </w:tc>
        <w:tc>
          <w:tcPr>
            <w:tcW w:w="7016" w:type="dxa"/>
          </w:tcPr>
          <w:p w14:paraId="3769A306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Rodovia e UF; sentido; faixa; lado; km do PER; km do SNV 202607A; coordenadas SIRGAS 2000; zona; TH; obrigação</w:t>
            </w:r>
          </w:p>
        </w:tc>
      </w:tr>
      <w:tr w:rsidR="00BE6909" w14:paraId="5E7AD97F" w14:textId="77777777">
        <w:tc>
          <w:tcPr>
            <w:tcW w:w="2339" w:type="dxa"/>
          </w:tcPr>
          <w:p w14:paraId="14365F1D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Ensaio</w:t>
            </w:r>
          </w:p>
        </w:tc>
        <w:tc>
          <w:tcPr>
            <w:tcW w:w="7016" w:type="dxa"/>
          </w:tcPr>
          <w:p w14:paraId="04EBA08C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Método e norma com edição; equipamento e calibração; data do ensaio; idade ou condicionamento; condições (temperatura, energia)</w:t>
            </w:r>
          </w:p>
        </w:tc>
      </w:tr>
      <w:tr w:rsidR="00BE6909" w14:paraId="2413217E" w14:textId="77777777">
        <w:tc>
          <w:tcPr>
            <w:tcW w:w="2339" w:type="dxa"/>
          </w:tcPr>
          <w:p w14:paraId="29F6D7A5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Resultado</w:t>
            </w:r>
          </w:p>
        </w:tc>
        <w:tc>
          <w:tcPr>
            <w:tcW w:w="7016" w:type="dxa"/>
          </w:tcPr>
          <w:p w14:paraId="7DBBAE1A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Valor; unidade com símbolo; resultados individuais quando o método produzir mais de um; incerteza quando aplicável</w:t>
            </w:r>
          </w:p>
        </w:tc>
      </w:tr>
      <w:tr w:rsidR="00BE6909" w14:paraId="797F4F8C" w14:textId="77777777">
        <w:tc>
          <w:tcPr>
            <w:tcW w:w="2339" w:type="dxa"/>
          </w:tcPr>
          <w:p w14:paraId="0CF8B6F8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Critério</w:t>
            </w:r>
          </w:p>
        </w:tc>
        <w:tc>
          <w:tcPr>
            <w:tcW w:w="7016" w:type="dxa"/>
          </w:tcPr>
          <w:p w14:paraId="3C8FF38D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Limite ou faixa; fonte do critério (projeto, especificação, PER); regra estatística</w:t>
            </w:r>
          </w:p>
        </w:tc>
      </w:tr>
      <w:tr w:rsidR="00BE6909" w14:paraId="26242A27" w14:textId="77777777">
        <w:tc>
          <w:tcPr>
            <w:tcW w:w="2339" w:type="dxa"/>
          </w:tcPr>
          <w:p w14:paraId="241B9A35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Conclusão</w:t>
            </w:r>
          </w:p>
        </w:tc>
        <w:tc>
          <w:tcPr>
            <w:tcW w:w="7016" w:type="dxa"/>
          </w:tcPr>
          <w:p w14:paraId="51F7AFE8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Conforme, não conforme ou inválido; RNC vinculado; estado de verificação</w:t>
            </w:r>
          </w:p>
        </w:tc>
      </w:tr>
      <w:tr w:rsidR="00BE6909" w14:paraId="1916465A" w14:textId="77777777">
        <w:tc>
          <w:tcPr>
            <w:tcW w:w="2339" w:type="dxa"/>
          </w:tcPr>
          <w:p w14:paraId="5471EFF6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Responsabilidade</w:t>
            </w:r>
          </w:p>
        </w:tc>
        <w:tc>
          <w:tcPr>
            <w:tcW w:w="7016" w:type="dxa"/>
          </w:tcPr>
          <w:p w14:paraId="320F8962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Responsável técnico; laudo vinculado; versão; data de emissão</w:t>
            </w:r>
          </w:p>
        </w:tc>
      </w:tr>
    </w:tbl>
    <w:p w14:paraId="0695A4B2" w14:textId="77777777" w:rsidR="00BE6909" w:rsidRDefault="00BE6909">
      <w:pPr>
        <w:spacing w:after="40"/>
      </w:pPr>
    </w:p>
    <w:p w14:paraId="35DBE468" w14:textId="77777777" w:rsidR="00BE6909" w:rsidRDefault="00D82D82">
      <w:pPr>
        <w:spacing w:after="120"/>
      </w:pPr>
      <w:r>
        <w:t>Regras de formato: identificadores estáveis; UTF-8; datas em ISO 8601; reenvio não duplica; correção cria nova versão e preserva a anterior, com motivo.</w:t>
      </w:r>
    </w:p>
    <w:p w14:paraId="4FD635E8" w14:textId="77777777" w:rsidR="00BE6909" w:rsidRDefault="00D82D82">
      <w:pPr>
        <w:pStyle w:val="Ttulo1"/>
        <w:spacing w:before="280" w:after="120"/>
      </w:pPr>
      <w:r>
        <w:rPr>
          <w:rFonts w:ascii="Calibri" w:eastAsia="Calibri" w:hAnsi="Calibri" w:cs="Calibri"/>
        </w:rPr>
        <w:t>5. Camadas do acervo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49"/>
        <w:gridCol w:w="2635"/>
        <w:gridCol w:w="2635"/>
        <w:gridCol w:w="2635"/>
      </w:tblGrid>
      <w:tr w:rsidR="00BE6909" w14:paraId="345C5F32" w14:textId="77777777">
        <w:trPr>
          <w:tblHeader/>
        </w:trPr>
        <w:tc>
          <w:tcPr>
            <w:tcW w:w="1449" w:type="dxa"/>
            <w:shd w:val="clear" w:color="auto" w:fill="F3F2ED"/>
          </w:tcPr>
          <w:p w14:paraId="67DEF419" w14:textId="77777777" w:rsidR="00BE6909" w:rsidRDefault="00D82D82">
            <w:pPr>
              <w:spacing w:after="20" w:line="240" w:lineRule="auto"/>
            </w:pPr>
            <w:r>
              <w:rPr>
                <w:b/>
                <w:sz w:val="18"/>
              </w:rPr>
              <w:t>Camada</w:t>
            </w:r>
          </w:p>
        </w:tc>
        <w:tc>
          <w:tcPr>
            <w:tcW w:w="2635" w:type="dxa"/>
            <w:shd w:val="clear" w:color="auto" w:fill="F3F2ED"/>
          </w:tcPr>
          <w:p w14:paraId="6F4755B8" w14:textId="77777777" w:rsidR="00BE6909" w:rsidRDefault="00D82D82">
            <w:pPr>
              <w:spacing w:after="20" w:line="240" w:lineRule="auto"/>
            </w:pPr>
            <w:r>
              <w:rPr>
                <w:b/>
                <w:sz w:val="18"/>
              </w:rPr>
              <w:t>Conteúdo</w:t>
            </w:r>
          </w:p>
        </w:tc>
        <w:tc>
          <w:tcPr>
            <w:tcW w:w="2635" w:type="dxa"/>
            <w:shd w:val="clear" w:color="auto" w:fill="F3F2ED"/>
          </w:tcPr>
          <w:p w14:paraId="1EB0709A" w14:textId="77777777" w:rsidR="00BE6909" w:rsidRDefault="00D82D82">
            <w:pPr>
              <w:spacing w:after="20" w:line="240" w:lineRule="auto"/>
            </w:pPr>
            <w:r>
              <w:rPr>
                <w:b/>
                <w:sz w:val="18"/>
              </w:rPr>
              <w:t>Regra de entrada</w:t>
            </w:r>
          </w:p>
        </w:tc>
        <w:tc>
          <w:tcPr>
            <w:tcW w:w="2635" w:type="dxa"/>
            <w:shd w:val="clear" w:color="auto" w:fill="F3F2ED"/>
          </w:tcPr>
          <w:p w14:paraId="71DC880D" w14:textId="77777777" w:rsidR="00BE6909" w:rsidRDefault="00D82D82">
            <w:pPr>
              <w:spacing w:after="20" w:line="240" w:lineRule="auto"/>
            </w:pPr>
            <w:r>
              <w:rPr>
                <w:b/>
                <w:sz w:val="18"/>
              </w:rPr>
              <w:t>Regra de aceite</w:t>
            </w:r>
          </w:p>
        </w:tc>
      </w:tr>
      <w:tr w:rsidR="00BE6909" w14:paraId="427D1415" w14:textId="77777777">
        <w:tc>
          <w:tcPr>
            <w:tcW w:w="1449" w:type="dxa"/>
          </w:tcPr>
          <w:p w14:paraId="56BCE066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CDE (Central BIM e sites de zona)</w:t>
            </w:r>
          </w:p>
        </w:tc>
        <w:tc>
          <w:tcPr>
            <w:tcW w:w="2635" w:type="dxa"/>
          </w:tcPr>
          <w:p w14:paraId="26F97DBA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Laudos e relatórios assinados em PDF; PCT; ITP; RNC; Data Books; certificados de calibração; atas</w:t>
            </w:r>
          </w:p>
        </w:tc>
        <w:tc>
          <w:tcPr>
            <w:tcW w:w="2635" w:type="dxa"/>
          </w:tcPr>
          <w:p w14:paraId="4C5905C9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Estado Em análise, com código CCS</w:t>
            </w:r>
          </w:p>
        </w:tc>
        <w:tc>
          <w:tcPr>
            <w:tcW w:w="2635" w:type="dxa"/>
          </w:tcPr>
          <w:p w14:paraId="0E3FD939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Fluxo CRA do Caderno BIM; estado Publicado registra o aceite do documento</w:t>
            </w:r>
          </w:p>
        </w:tc>
      </w:tr>
      <w:tr w:rsidR="00BE6909" w14:paraId="22FA5E65" w14:textId="77777777">
        <w:tc>
          <w:tcPr>
            <w:tcW w:w="1449" w:type="dxa"/>
          </w:tcPr>
          <w:p w14:paraId="53784231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Plataforma de dados</w:t>
            </w:r>
          </w:p>
        </w:tc>
        <w:tc>
          <w:tcPr>
            <w:tcW w:w="2635" w:type="dxa"/>
          </w:tcPr>
          <w:p w14:paraId="47904677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Registros de ensaio em CSV, JSON ou XLSX; dicionário de campos; indicadores</w:t>
            </w:r>
          </w:p>
        </w:tc>
        <w:tc>
          <w:tcPr>
            <w:tcW w:w="2635" w:type="dxa"/>
          </w:tcPr>
          <w:p w14:paraId="04EC15F5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Até 1 dia útil da execução ou da emissão; em campo sem conexão, sincronização em 1 dia útil</w:t>
            </w:r>
          </w:p>
        </w:tc>
        <w:tc>
          <w:tcPr>
            <w:tcW w:w="2635" w:type="dxa"/>
          </w:tcPr>
          <w:p w14:paraId="7012F97F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Rejeição corrigida em 1 dia útil; a plataforma é o registro oficial dos dados</w:t>
            </w:r>
          </w:p>
        </w:tc>
      </w:tr>
      <w:tr w:rsidR="00BE6909" w14:paraId="184474B6" w14:textId="77777777">
        <w:tc>
          <w:tcPr>
            <w:tcW w:w="1449" w:type="dxa"/>
          </w:tcPr>
          <w:p w14:paraId="7A0419D6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Data Book por obra</w:t>
            </w:r>
          </w:p>
        </w:tc>
        <w:tc>
          <w:tcPr>
            <w:tcW w:w="2635" w:type="dxa"/>
          </w:tcPr>
          <w:p w14:paraId="0A601C15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Índice navegável; ARTs; planos aprovados; calibrações; laudos; RNC; bases editáveis; termos de aceite</w:t>
            </w:r>
          </w:p>
        </w:tc>
        <w:tc>
          <w:tcPr>
            <w:tcW w:w="2635" w:type="dxa"/>
          </w:tcPr>
          <w:p w14:paraId="2422167D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30 dias corridos do término da obra ou da última OS</w:t>
            </w:r>
          </w:p>
        </w:tc>
        <w:tc>
          <w:tcPr>
            <w:tcW w:w="2635" w:type="dxa"/>
          </w:tcPr>
          <w:p w14:paraId="4AC5907A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Condição para o recebimento definitivo</w:t>
            </w:r>
          </w:p>
        </w:tc>
      </w:tr>
    </w:tbl>
    <w:p w14:paraId="153E1C2C" w14:textId="77777777" w:rsidR="00BE6909" w:rsidRDefault="00BE6909">
      <w:pPr>
        <w:spacing w:after="40"/>
      </w:pPr>
    </w:p>
    <w:p w14:paraId="0ACB845A" w14:textId="77777777" w:rsidR="00BE6909" w:rsidRDefault="00D82D82">
      <w:pPr>
        <w:spacing w:after="120"/>
      </w:pPr>
      <w:r>
        <w:t>Enquanto a plataforma de dados não estiver indicada, o CDE recebe também os arquivos editáveis (XLSX e CSV) com os mesmos campos.</w:t>
      </w:r>
    </w:p>
    <w:p w14:paraId="3CA1254C" w14:textId="77777777" w:rsidR="00BE6909" w:rsidRDefault="00D82D82">
      <w:pPr>
        <w:pStyle w:val="Ttulo1"/>
        <w:spacing w:before="280" w:after="120"/>
      </w:pPr>
      <w:r>
        <w:rPr>
          <w:rFonts w:ascii="Calibri" w:eastAsia="Calibri" w:hAnsi="Calibri" w:cs="Calibri"/>
        </w:rPr>
        <w:lastRenderedPageBreak/>
        <w:t>6. Data Book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6929"/>
      </w:tblGrid>
      <w:tr w:rsidR="00BE6909" w14:paraId="7B52037F" w14:textId="77777777">
        <w:trPr>
          <w:tblHeader/>
        </w:trPr>
        <w:tc>
          <w:tcPr>
            <w:tcW w:w="2425" w:type="dxa"/>
            <w:shd w:val="clear" w:color="auto" w:fill="F3F2ED"/>
          </w:tcPr>
          <w:p w14:paraId="0D209BB8" w14:textId="77777777" w:rsidR="00BE6909" w:rsidRDefault="00D82D82">
            <w:pPr>
              <w:spacing w:after="20" w:line="240" w:lineRule="auto"/>
            </w:pPr>
            <w:r>
              <w:rPr>
                <w:b/>
                <w:sz w:val="18"/>
              </w:rPr>
              <w:t>Seção</w:t>
            </w:r>
          </w:p>
        </w:tc>
        <w:tc>
          <w:tcPr>
            <w:tcW w:w="6929" w:type="dxa"/>
            <w:shd w:val="clear" w:color="auto" w:fill="F3F2ED"/>
          </w:tcPr>
          <w:p w14:paraId="3702A3C8" w14:textId="77777777" w:rsidR="00BE6909" w:rsidRDefault="00D82D82">
            <w:pPr>
              <w:spacing w:after="20" w:line="240" w:lineRule="auto"/>
            </w:pPr>
            <w:r>
              <w:rPr>
                <w:b/>
                <w:sz w:val="18"/>
              </w:rPr>
              <w:t>Conteúdo</w:t>
            </w:r>
          </w:p>
        </w:tc>
      </w:tr>
      <w:tr w:rsidR="00BE6909" w14:paraId="160C529B" w14:textId="77777777">
        <w:tc>
          <w:tcPr>
            <w:tcW w:w="2425" w:type="dxa"/>
          </w:tcPr>
          <w:p w14:paraId="145D2928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1. Identificação</w:t>
            </w:r>
          </w:p>
        </w:tc>
        <w:tc>
          <w:tcPr>
            <w:tcW w:w="6929" w:type="dxa"/>
          </w:tcPr>
          <w:p w14:paraId="5500AD7C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Obra; zona; km do PER e km do SNV 202607A; contratos; responsáveis técnicos; ARTs</w:t>
            </w:r>
          </w:p>
        </w:tc>
      </w:tr>
      <w:tr w:rsidR="00BE6909" w14:paraId="184DC808" w14:textId="77777777">
        <w:tc>
          <w:tcPr>
            <w:tcW w:w="2425" w:type="dxa"/>
          </w:tcPr>
          <w:p w14:paraId="71C9AEA4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2. Planos</w:t>
            </w:r>
          </w:p>
        </w:tc>
        <w:tc>
          <w:tcPr>
            <w:tcW w:w="6929" w:type="dxa"/>
          </w:tcPr>
          <w:p w14:paraId="613DBB78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PCT e ITP aprovados, com revisões</w:t>
            </w:r>
          </w:p>
        </w:tc>
      </w:tr>
      <w:tr w:rsidR="00BE6909" w14:paraId="4AF4D393" w14:textId="77777777">
        <w:tc>
          <w:tcPr>
            <w:tcW w:w="2425" w:type="dxa"/>
          </w:tcPr>
          <w:p w14:paraId="7AFFA1C9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3. Materiais e traços</w:t>
            </w:r>
          </w:p>
        </w:tc>
        <w:tc>
          <w:tcPr>
            <w:tcW w:w="6929" w:type="dxa"/>
          </w:tcPr>
          <w:p w14:paraId="3BEE95C7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Fontes qualificadas; diligências; traços aprovados; certificados</w:t>
            </w:r>
          </w:p>
        </w:tc>
      </w:tr>
      <w:tr w:rsidR="00BE6909" w14:paraId="53E0BEB4" w14:textId="77777777">
        <w:tc>
          <w:tcPr>
            <w:tcW w:w="2425" w:type="dxa"/>
          </w:tcPr>
          <w:p w14:paraId="2D6597E7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4. Laudos</w:t>
            </w:r>
          </w:p>
        </w:tc>
        <w:tc>
          <w:tcPr>
            <w:tcW w:w="6929" w:type="dxa"/>
          </w:tcPr>
          <w:p w14:paraId="2D81492B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Por material e lote, com identificador de amostra e resultado</w:t>
            </w:r>
          </w:p>
        </w:tc>
      </w:tr>
      <w:tr w:rsidR="00BE6909" w14:paraId="68093DD9" w14:textId="77777777">
        <w:tc>
          <w:tcPr>
            <w:tcW w:w="2425" w:type="dxa"/>
          </w:tcPr>
          <w:p w14:paraId="7000CF30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5. Estatística</w:t>
            </w:r>
          </w:p>
        </w:tc>
        <w:tc>
          <w:tcPr>
            <w:tcW w:w="6929" w:type="dxa"/>
          </w:tcPr>
          <w:p w14:paraId="6A194F6F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Resumo por lote; cartas de controle; capacidade do processo</w:t>
            </w:r>
          </w:p>
        </w:tc>
      </w:tr>
      <w:tr w:rsidR="00BE6909" w14:paraId="693F5F29" w14:textId="77777777">
        <w:tc>
          <w:tcPr>
            <w:tcW w:w="2425" w:type="dxa"/>
          </w:tcPr>
          <w:p w14:paraId="45969695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6. Liberações</w:t>
            </w:r>
          </w:p>
        </w:tc>
        <w:tc>
          <w:tcPr>
            <w:tcW w:w="6929" w:type="dxa"/>
          </w:tcPr>
          <w:p w14:paraId="3D1BA96C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Registros de pontos H por etapa</w:t>
            </w:r>
          </w:p>
        </w:tc>
      </w:tr>
      <w:tr w:rsidR="00BE6909" w14:paraId="7FBFE19E" w14:textId="77777777">
        <w:tc>
          <w:tcPr>
            <w:tcW w:w="2425" w:type="dxa"/>
          </w:tcPr>
          <w:p w14:paraId="3F329A4F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7. Não conformidades</w:t>
            </w:r>
          </w:p>
        </w:tc>
        <w:tc>
          <w:tcPr>
            <w:tcW w:w="6929" w:type="dxa"/>
          </w:tcPr>
          <w:p w14:paraId="1356B08E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Matriz de RNC com disposição, eficácia e encerramento</w:t>
            </w:r>
          </w:p>
        </w:tc>
      </w:tr>
      <w:tr w:rsidR="00BE6909" w14:paraId="2331D971" w14:textId="77777777">
        <w:tc>
          <w:tcPr>
            <w:tcW w:w="2425" w:type="dxa"/>
          </w:tcPr>
          <w:p w14:paraId="7F3F66C7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8. Divergências</w:t>
            </w:r>
          </w:p>
        </w:tc>
        <w:tc>
          <w:tcPr>
            <w:tcW w:w="6929" w:type="dxa"/>
          </w:tcPr>
          <w:p w14:paraId="3E56CE37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Atas de contraprova e decisões</w:t>
            </w:r>
          </w:p>
        </w:tc>
      </w:tr>
      <w:tr w:rsidR="00BE6909" w14:paraId="62F3B98C" w14:textId="77777777">
        <w:tc>
          <w:tcPr>
            <w:tcW w:w="2425" w:type="dxa"/>
          </w:tcPr>
          <w:p w14:paraId="4A6F8623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9. Calibração</w:t>
            </w:r>
          </w:p>
        </w:tc>
        <w:tc>
          <w:tcPr>
            <w:tcW w:w="6929" w:type="dxa"/>
          </w:tcPr>
          <w:p w14:paraId="3379CE7F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Certificados dos equipamentos usados</w:t>
            </w:r>
          </w:p>
        </w:tc>
      </w:tr>
      <w:tr w:rsidR="00BE6909" w14:paraId="4CFBB7BE" w14:textId="77777777">
        <w:tc>
          <w:tcPr>
            <w:tcW w:w="2425" w:type="dxa"/>
          </w:tcPr>
          <w:p w14:paraId="3B2220C7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10. Bases editáveis</w:t>
            </w:r>
          </w:p>
        </w:tc>
        <w:tc>
          <w:tcPr>
            <w:tcW w:w="6929" w:type="dxa"/>
          </w:tcPr>
          <w:p w14:paraId="275041DE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Banco de dados completo em formato aberto</w:t>
            </w:r>
          </w:p>
        </w:tc>
      </w:tr>
      <w:tr w:rsidR="00BE6909" w14:paraId="40B0E2FA" w14:textId="77777777">
        <w:tc>
          <w:tcPr>
            <w:tcW w:w="2425" w:type="dxa"/>
          </w:tcPr>
          <w:p w14:paraId="6FC4C28C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11. Aceite</w:t>
            </w:r>
          </w:p>
        </w:tc>
        <w:tc>
          <w:tcPr>
            <w:tcW w:w="6929" w:type="dxa"/>
          </w:tcPr>
          <w:p w14:paraId="6A685C7C" w14:textId="77777777" w:rsidR="00BE6909" w:rsidRDefault="00D82D82">
            <w:pPr>
              <w:spacing w:after="20" w:line="240" w:lineRule="auto"/>
            </w:pPr>
            <w:r>
              <w:rPr>
                <w:sz w:val="18"/>
              </w:rPr>
              <w:t>Termos de aceite por segmento ou lote; relatório final</w:t>
            </w:r>
          </w:p>
        </w:tc>
      </w:tr>
    </w:tbl>
    <w:p w14:paraId="5D007A2B" w14:textId="77777777" w:rsidR="00BE6909" w:rsidRDefault="00BE6909">
      <w:pPr>
        <w:spacing w:after="40"/>
      </w:pPr>
    </w:p>
    <w:p w14:paraId="765BAC4B" w14:textId="77777777" w:rsidR="00BE6909" w:rsidRDefault="00D82D82">
      <w:pPr>
        <w:pStyle w:val="Ttulo1"/>
        <w:spacing w:before="280" w:after="120"/>
      </w:pPr>
      <w:r>
        <w:rPr>
          <w:rFonts w:ascii="Calibri" w:eastAsia="Calibri" w:hAnsi="Calibri" w:cs="Calibri"/>
        </w:rPr>
        <w:t>7. Propriedade e eliminação</w:t>
      </w:r>
    </w:p>
    <w:p w14:paraId="35EDAFEF" w14:textId="77777777" w:rsidR="00BE6909" w:rsidRDefault="00D82D82">
      <w:pPr>
        <w:spacing w:after="120"/>
      </w:pPr>
      <w:r>
        <w:t>Os dados pertencem à Concessionária. Laboratório e EXECUTORA mantêm cópia de trabalho pelo prazo de guarda, em ambiente segregado e com credenciais nominais. Ao término do contrato, exportam a base completa em formato aberto e emitem termo de eliminação das cópias não sujeitas a guarda. Nenhuma cópia é eliminada com RNC aberto, controvérsia ou litígio conhecido.</w:t>
      </w:r>
    </w:p>
    <w:sectPr w:rsidR="00BE6909" w:rsidSect="00034616">
      <w:headerReference w:type="default" r:id="rId8"/>
      <w:footerReference w:type="default" r:id="rId9"/>
      <w:pgSz w:w="11906" w:h="16838"/>
      <w:pgMar w:top="2381" w:right="1134" w:bottom="1814" w:left="1417" w:header="79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AE1E1" w14:textId="77777777" w:rsidR="00D82D82" w:rsidRDefault="00D82D82">
      <w:pPr>
        <w:spacing w:after="0" w:line="240" w:lineRule="auto"/>
      </w:pPr>
      <w:r>
        <w:separator/>
      </w:r>
    </w:p>
  </w:endnote>
  <w:endnote w:type="continuationSeparator" w:id="0">
    <w:p w14:paraId="0507A853" w14:textId="77777777" w:rsidR="00D82D82" w:rsidRDefault="00D82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7937"/>
      <w:gridCol w:w="1417"/>
    </w:tblGrid>
    <w:tr w:rsidR="00BE6909" w14:paraId="4AA861C8" w14:textId="77777777">
      <w:tc>
        <w:tcPr>
          <w:tcW w:w="7937" w:type="dxa"/>
          <w:tcBorders>
            <w:bottom w:val="single" w:sz="12" w:space="0" w:color="F5BA00"/>
          </w:tcBorders>
        </w:tcPr>
        <w:p w14:paraId="6575962F" w14:textId="77777777" w:rsidR="00BE6909" w:rsidRDefault="00BE6909">
          <w:pPr>
            <w:spacing w:after="0" w:line="40" w:lineRule="exact"/>
          </w:pPr>
        </w:p>
      </w:tc>
      <w:tc>
        <w:tcPr>
          <w:tcW w:w="1417" w:type="dxa"/>
          <w:tcBorders>
            <w:bottom w:val="single" w:sz="12" w:space="0" w:color="064B63"/>
          </w:tcBorders>
        </w:tcPr>
        <w:p w14:paraId="6B0F727F" w14:textId="77777777" w:rsidR="00BE6909" w:rsidRDefault="00BE6909">
          <w:pPr>
            <w:spacing w:after="0" w:line="40" w:lineRule="exact"/>
          </w:pPr>
        </w:p>
      </w:tc>
    </w:tr>
  </w:tbl>
  <w:p w14:paraId="38BC0202" w14:textId="77777777" w:rsidR="00BE6909" w:rsidRDefault="00D82D82">
    <w:pPr>
      <w:spacing w:after="0"/>
    </w:pPr>
    <w:r>
      <w:rPr>
        <w:color w:val="617177"/>
        <w:sz w:val="15"/>
      </w:rPr>
      <w:t>Concessionária 116 Sertões S.A. · CNPJ 68.576.407/0001-03 · Concessão Rota dos Sertões · BR-116/PE/BA e BR-324/BA</w:t>
    </w:r>
  </w:p>
  <w:p w14:paraId="1FA5E417" w14:textId="77777777" w:rsidR="00BE6909" w:rsidRDefault="00D82D82">
    <w:pPr>
      <w:spacing w:after="0"/>
    </w:pPr>
    <w:r>
      <w:rPr>
        <w:color w:val="617177"/>
        <w:sz w:val="15"/>
      </w:rPr>
      <w:t>Alameda Salvador, 1057 · Torre América, sala 1115 · Salvador/BA</w:t>
    </w:r>
  </w:p>
  <w:p w14:paraId="3A2C0645" w14:textId="77777777" w:rsidR="00BE6909" w:rsidRDefault="00D82D82">
    <w:pPr>
      <w:spacing w:after="0"/>
      <w:jc w:val="right"/>
    </w:pPr>
    <w:r>
      <w:rPr>
        <w:color w:val="617177"/>
        <w:sz w:val="15"/>
      </w:rPr>
      <w:fldChar w:fldCharType="begin"/>
    </w:r>
    <w:r>
      <w:rPr>
        <w:color w:val="617177"/>
        <w:sz w:val="15"/>
      </w:rPr>
      <w:instrText>PAGE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  <w:r>
      <w:rPr>
        <w:color w:val="617177"/>
        <w:sz w:val="15"/>
      </w:rPr>
      <w:t xml:space="preserve"> de </w:t>
    </w:r>
    <w:r>
      <w:rPr>
        <w:color w:val="617177"/>
        <w:sz w:val="15"/>
      </w:rPr>
      <w:fldChar w:fldCharType="begin"/>
    </w:r>
    <w:r>
      <w:rPr>
        <w:color w:val="617177"/>
        <w:sz w:val="15"/>
      </w:rPr>
      <w:instrText>NUMPAGES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B483D" w14:textId="77777777" w:rsidR="00D82D82" w:rsidRDefault="00D82D82">
      <w:pPr>
        <w:spacing w:after="0" w:line="240" w:lineRule="auto"/>
      </w:pPr>
      <w:r>
        <w:separator/>
      </w:r>
    </w:p>
  </w:footnote>
  <w:footnote w:type="continuationSeparator" w:id="0">
    <w:p w14:paraId="661512A0" w14:textId="77777777" w:rsidR="00D82D82" w:rsidRDefault="00D82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AB613" w14:textId="77777777" w:rsidR="00BE6909" w:rsidRDefault="00D82D82">
    <w:r>
      <w:rPr>
        <w:noProof/>
      </w:rPr>
      <w:drawing>
        <wp:inline distT="0" distB="0" distL="0" distR="0" wp14:anchorId="5E42866B" wp14:editId="392B9FD9">
          <wp:extent cx="1872000" cy="5019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orizontal_c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501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723224">
    <w:abstractNumId w:val="8"/>
  </w:num>
  <w:num w:numId="2" w16cid:durableId="1025981223">
    <w:abstractNumId w:val="6"/>
  </w:num>
  <w:num w:numId="3" w16cid:durableId="1626816350">
    <w:abstractNumId w:val="5"/>
  </w:num>
  <w:num w:numId="4" w16cid:durableId="643123923">
    <w:abstractNumId w:val="4"/>
  </w:num>
  <w:num w:numId="5" w16cid:durableId="298724946">
    <w:abstractNumId w:val="7"/>
  </w:num>
  <w:num w:numId="6" w16cid:durableId="868765019">
    <w:abstractNumId w:val="3"/>
  </w:num>
  <w:num w:numId="7" w16cid:durableId="1984310719">
    <w:abstractNumId w:val="2"/>
  </w:num>
  <w:num w:numId="8" w16cid:durableId="1931429134">
    <w:abstractNumId w:val="1"/>
  </w:num>
  <w:num w:numId="9" w16cid:durableId="84425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0D23"/>
    <w:rsid w:val="00AA1D8D"/>
    <w:rsid w:val="00B47730"/>
    <w:rsid w:val="00BE6909"/>
    <w:rsid w:val="00CB0664"/>
    <w:rsid w:val="00D82D82"/>
    <w:rsid w:val="00F551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C89DF9"/>
  <w14:defaultImageDpi w14:val="300"/>
  <w15:docId w15:val="{06473C25-0747-4B87-8008-F8389640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eastAsia="Calibri" w:hAnsi="Calibri" w:cs="Calibri"/>
      <w:color w:val="064B6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802</Words>
  <Characters>4491</Characters>
  <Application>Microsoft Office Word</Application>
  <DocSecurity>0</DocSecurity>
  <Lines>164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Rastreabilidade e acervo R00</dc:title>
  <dc:subject>Política de Controle Tecnológico de Obras</dc:subject>
  <dc:creator>Concessionária 116 Sertões S.A.</dc:creator>
  <cp:keywords>POL-CT-116-A4; R00; PR; controle tecnológico; Rota dos Sertões</cp:keywords>
  <dc:description>generated by python-docx</dc:description>
  <cp:lastModifiedBy>Danillo Oliveira</cp:lastModifiedBy>
  <cp:revision>2</cp:revision>
  <dcterms:created xsi:type="dcterms:W3CDTF">2013-12-23T23:15:00Z</dcterms:created>
  <dcterms:modified xsi:type="dcterms:W3CDTF">2026-10-17T04:41:00Z</dcterms:modified>
  <cp:category/>
  <cp:version>R00</cp:version>
</cp:coreProperties>
</file>