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6019" w14:textId="77777777" w:rsidR="00F100A0" w:rsidRDefault="002C4D0E">
      <w:r>
        <w:rPr>
          <w:b/>
          <w:color w:val="617177"/>
        </w:rPr>
        <w:t>ANEXO 5 DA POLÍTICA DE CONTROLE TECNOLÓGICO DE OBRAS</w:t>
      </w:r>
    </w:p>
    <w:p w14:paraId="1CFA5901" w14:textId="77777777" w:rsidR="00F100A0" w:rsidRDefault="002C4D0E">
      <w:pPr>
        <w:spacing w:before="80"/>
      </w:pPr>
      <w:r>
        <w:rPr>
          <w:b/>
          <w:sz w:val="36"/>
        </w:rPr>
        <w:t>Indicadores de controle tecnológico</w:t>
      </w:r>
    </w:p>
    <w:p w14:paraId="4B353E80" w14:textId="77777777" w:rsidR="00F100A0" w:rsidRDefault="002C4D0E">
      <w:pPr>
        <w:spacing w:before="160"/>
      </w:pPr>
      <w:r>
        <w:rPr>
          <w:color w:val="617177"/>
          <w:sz w:val="21"/>
        </w:rPr>
        <w:t>Código POL-CT-116-A5 · Revisão R00 · 17/10/2026 · Status PR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4677"/>
      </w:tblGrid>
      <w:tr w:rsidR="00F100A0" w14:paraId="149CD57F" w14:textId="77777777">
        <w:trPr>
          <w:tblHeader/>
        </w:trPr>
        <w:tc>
          <w:tcPr>
            <w:tcW w:w="1559" w:type="dxa"/>
            <w:shd w:val="clear" w:color="auto" w:fill="F3F2ED"/>
          </w:tcPr>
          <w:p w14:paraId="54AB84BF" w14:textId="77777777" w:rsidR="00F100A0" w:rsidRDefault="002C4D0E">
            <w:pPr>
              <w:spacing w:after="20" w:line="240" w:lineRule="auto"/>
            </w:pPr>
            <w:r>
              <w:rPr>
                <w:b/>
                <w:sz w:val="19"/>
              </w:rPr>
              <w:t>Rev.</w:t>
            </w:r>
          </w:p>
        </w:tc>
        <w:tc>
          <w:tcPr>
            <w:tcW w:w="1559" w:type="dxa"/>
            <w:shd w:val="clear" w:color="auto" w:fill="F3F2ED"/>
          </w:tcPr>
          <w:p w14:paraId="531081D5" w14:textId="77777777" w:rsidR="00F100A0" w:rsidRDefault="002C4D0E">
            <w:pPr>
              <w:spacing w:after="20" w:line="240" w:lineRule="auto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w="1559" w:type="dxa"/>
            <w:shd w:val="clear" w:color="auto" w:fill="F3F2ED"/>
          </w:tcPr>
          <w:p w14:paraId="3B51982E" w14:textId="77777777" w:rsidR="00F100A0" w:rsidRDefault="002C4D0E">
            <w:pPr>
              <w:spacing w:after="20" w:line="240" w:lineRule="auto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4677" w:type="dxa"/>
            <w:shd w:val="clear" w:color="auto" w:fill="F3F2ED"/>
          </w:tcPr>
          <w:p w14:paraId="4447E158" w14:textId="77777777" w:rsidR="00F100A0" w:rsidRDefault="002C4D0E">
            <w:pPr>
              <w:spacing w:after="20" w:line="240" w:lineRule="auto"/>
            </w:pPr>
            <w:r>
              <w:rPr>
                <w:b/>
                <w:sz w:val="19"/>
              </w:rPr>
              <w:t>Descrição</w:t>
            </w:r>
          </w:p>
        </w:tc>
      </w:tr>
      <w:tr w:rsidR="00F100A0" w14:paraId="327D404E" w14:textId="77777777">
        <w:tc>
          <w:tcPr>
            <w:tcW w:w="1559" w:type="dxa"/>
          </w:tcPr>
          <w:p w14:paraId="5FB72B86" w14:textId="77777777" w:rsidR="00F100A0" w:rsidRDefault="002C4D0E">
            <w:pPr>
              <w:spacing w:after="20" w:line="240" w:lineRule="auto"/>
            </w:pPr>
            <w:r>
              <w:rPr>
                <w:sz w:val="19"/>
              </w:rPr>
              <w:t>R00</w:t>
            </w:r>
          </w:p>
        </w:tc>
        <w:tc>
          <w:tcPr>
            <w:tcW w:w="1559" w:type="dxa"/>
          </w:tcPr>
          <w:p w14:paraId="110D8AF9" w14:textId="77777777" w:rsidR="00F100A0" w:rsidRDefault="002C4D0E">
            <w:pPr>
              <w:spacing w:after="20" w:line="240" w:lineRule="auto"/>
            </w:pPr>
            <w:r>
              <w:rPr>
                <w:sz w:val="19"/>
              </w:rPr>
              <w:t>17/10/2026</w:t>
            </w:r>
          </w:p>
        </w:tc>
        <w:tc>
          <w:tcPr>
            <w:tcW w:w="1559" w:type="dxa"/>
          </w:tcPr>
          <w:p w14:paraId="4F993D62" w14:textId="77777777" w:rsidR="00F100A0" w:rsidRDefault="002C4D0E">
            <w:pPr>
              <w:spacing w:after="20" w:line="240" w:lineRule="auto"/>
            </w:pPr>
            <w:r>
              <w:rPr>
                <w:sz w:val="19"/>
              </w:rPr>
              <w:t>PR</w:t>
            </w:r>
          </w:p>
        </w:tc>
        <w:tc>
          <w:tcPr>
            <w:tcW w:w="4677" w:type="dxa"/>
          </w:tcPr>
          <w:p w14:paraId="44D4CB04" w14:textId="77777777" w:rsidR="00F100A0" w:rsidRDefault="002C4D0E">
            <w:pPr>
              <w:spacing w:after="20" w:line="240" w:lineRule="auto"/>
            </w:pPr>
            <w:r>
              <w:rPr>
                <w:sz w:val="19"/>
              </w:rPr>
              <w:t>Emissão inicial, junto com a Política de Controle Tecnológico R00</w:t>
            </w:r>
          </w:p>
        </w:tc>
      </w:tr>
    </w:tbl>
    <w:p w14:paraId="0A18C0BD" w14:textId="77777777" w:rsidR="00F100A0" w:rsidRDefault="00F100A0">
      <w:pPr>
        <w:spacing w:after="40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F100A0" w14:paraId="0623DD02" w14:textId="77777777">
        <w:trPr>
          <w:tblHeader/>
        </w:trPr>
        <w:tc>
          <w:tcPr>
            <w:tcW w:w="4677" w:type="dxa"/>
            <w:shd w:val="clear" w:color="auto" w:fill="F3F2ED"/>
          </w:tcPr>
          <w:p w14:paraId="72A6C250" w14:textId="77777777" w:rsidR="00F100A0" w:rsidRDefault="002C4D0E">
            <w:pPr>
              <w:spacing w:after="20" w:line="240" w:lineRule="auto"/>
            </w:pPr>
            <w:r>
              <w:rPr>
                <w:b/>
                <w:sz w:val="19"/>
              </w:rPr>
              <w:t>Elaboração</w:t>
            </w:r>
          </w:p>
        </w:tc>
        <w:tc>
          <w:tcPr>
            <w:tcW w:w="4677" w:type="dxa"/>
            <w:shd w:val="clear" w:color="auto" w:fill="F3F2ED"/>
          </w:tcPr>
          <w:p w14:paraId="027964FD" w14:textId="77777777" w:rsidR="00F100A0" w:rsidRDefault="002C4D0E">
            <w:pPr>
              <w:spacing w:after="20" w:line="240" w:lineRule="auto"/>
            </w:pPr>
            <w:r>
              <w:rPr>
                <w:b/>
                <w:sz w:val="19"/>
              </w:rPr>
              <w:t>Aprovação</w:t>
            </w:r>
          </w:p>
        </w:tc>
      </w:tr>
      <w:tr w:rsidR="00F100A0" w14:paraId="246C2FB5" w14:textId="77777777">
        <w:tc>
          <w:tcPr>
            <w:tcW w:w="4677" w:type="dxa"/>
          </w:tcPr>
          <w:p w14:paraId="28E257D1" w14:textId="77777777" w:rsidR="00F100A0" w:rsidRDefault="002C4D0E">
            <w:pPr>
              <w:spacing w:after="20" w:line="240" w:lineRule="auto"/>
            </w:pPr>
            <w:r>
              <w:rPr>
                <w:sz w:val="19"/>
              </w:rPr>
              <w:t>Coordenação de Pavimento e Controle Tecnológico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  <w:tc>
          <w:tcPr>
            <w:tcW w:w="4677" w:type="dxa"/>
          </w:tcPr>
          <w:p w14:paraId="0E4FBF57" w14:textId="77777777" w:rsidR="00F100A0" w:rsidRDefault="002C4D0E">
            <w:pPr>
              <w:spacing w:after="20" w:line="240" w:lineRule="auto"/>
            </w:pPr>
            <w:r>
              <w:rPr>
                <w:sz w:val="19"/>
              </w:rPr>
              <w:t>Danillo Oliveira, Gerente de Engenharia e Qualidade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</w:tr>
    </w:tbl>
    <w:p w14:paraId="656EEC56" w14:textId="77777777" w:rsidR="00F100A0" w:rsidRDefault="00F100A0">
      <w:pPr>
        <w:spacing w:after="40"/>
      </w:pPr>
    </w:p>
    <w:p w14:paraId="6B6D7C90" w14:textId="77777777" w:rsidR="00F100A0" w:rsidRDefault="00F100A0"/>
    <w:p w14:paraId="6250963F" w14:textId="77777777" w:rsidR="00F100A0" w:rsidRDefault="002C4D0E">
      <w:pPr>
        <w:pStyle w:val="Ttulo1"/>
        <w:spacing w:before="280" w:after="120"/>
      </w:pPr>
      <w:r>
        <w:rPr>
          <w:rFonts w:ascii="Calibri" w:eastAsia="Calibri" w:hAnsi="Calibri" w:cs="Calibri"/>
        </w:rPr>
        <w:t>1. Objeto</w:t>
      </w:r>
    </w:p>
    <w:p w14:paraId="48A0EB7E" w14:textId="77777777" w:rsidR="00F100A0" w:rsidRDefault="002C4D0E">
      <w:pPr>
        <w:spacing w:after="120"/>
      </w:pPr>
      <w:r>
        <w:t>Este anexo detalha a seção 15 da Política de Controle Tecnológico de Obras: fórmulas, fontes de dados, metas, periodicidade e painel mensal.</w:t>
      </w:r>
    </w:p>
    <w:p w14:paraId="60771D3C" w14:textId="77777777" w:rsidR="00F100A0" w:rsidRDefault="002C4D0E">
      <w:pPr>
        <w:pStyle w:val="Ttulo1"/>
        <w:spacing w:before="280" w:after="120"/>
      </w:pPr>
      <w:r>
        <w:rPr>
          <w:rFonts w:ascii="Calibri" w:eastAsia="Calibri" w:hAnsi="Calibri" w:cs="Calibri"/>
        </w:rPr>
        <w:t>2. Indicadores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839"/>
        <w:gridCol w:w="1552"/>
        <w:gridCol w:w="2517"/>
        <w:gridCol w:w="1888"/>
        <w:gridCol w:w="1720"/>
        <w:gridCol w:w="839"/>
      </w:tblGrid>
      <w:tr w:rsidR="00F100A0" w14:paraId="6C38FECF" w14:textId="77777777">
        <w:trPr>
          <w:tblHeader/>
        </w:trPr>
        <w:tc>
          <w:tcPr>
            <w:tcW w:w="839" w:type="dxa"/>
            <w:shd w:val="clear" w:color="auto" w:fill="F3F2ED"/>
          </w:tcPr>
          <w:p w14:paraId="54A9662E" w14:textId="77777777" w:rsidR="00F100A0" w:rsidRDefault="002C4D0E">
            <w:pPr>
              <w:spacing w:after="20" w:line="240" w:lineRule="auto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w="1552" w:type="dxa"/>
            <w:shd w:val="clear" w:color="auto" w:fill="F3F2ED"/>
          </w:tcPr>
          <w:p w14:paraId="01C1D552" w14:textId="77777777" w:rsidR="00F100A0" w:rsidRDefault="002C4D0E">
            <w:pPr>
              <w:spacing w:after="20" w:line="240" w:lineRule="auto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2517" w:type="dxa"/>
            <w:shd w:val="clear" w:color="auto" w:fill="F3F2ED"/>
          </w:tcPr>
          <w:p w14:paraId="04215FC4" w14:textId="77777777" w:rsidR="00F100A0" w:rsidRDefault="002C4D0E">
            <w:pPr>
              <w:spacing w:after="20" w:line="240" w:lineRule="auto"/>
            </w:pPr>
            <w:r>
              <w:rPr>
                <w:b/>
                <w:sz w:val="18"/>
              </w:rPr>
              <w:t>Fórmula</w:t>
            </w:r>
          </w:p>
        </w:tc>
        <w:tc>
          <w:tcPr>
            <w:tcW w:w="1888" w:type="dxa"/>
            <w:shd w:val="clear" w:color="auto" w:fill="F3F2ED"/>
          </w:tcPr>
          <w:p w14:paraId="0F63A5CB" w14:textId="77777777" w:rsidR="00F100A0" w:rsidRDefault="002C4D0E">
            <w:pPr>
              <w:spacing w:after="20" w:line="240" w:lineRule="auto"/>
            </w:pPr>
            <w:r>
              <w:rPr>
                <w:b/>
                <w:sz w:val="18"/>
              </w:rPr>
              <w:t>Fonte</w:t>
            </w:r>
          </w:p>
        </w:tc>
        <w:tc>
          <w:tcPr>
            <w:tcW w:w="1720" w:type="dxa"/>
            <w:shd w:val="clear" w:color="auto" w:fill="F3F2ED"/>
          </w:tcPr>
          <w:p w14:paraId="7CDC2111" w14:textId="77777777" w:rsidR="00F100A0" w:rsidRDefault="002C4D0E">
            <w:pPr>
              <w:spacing w:after="20" w:line="240" w:lineRule="auto"/>
            </w:pPr>
            <w:r>
              <w:rPr>
                <w:b/>
                <w:sz w:val="18"/>
              </w:rPr>
              <w:t>Meta</w:t>
            </w:r>
          </w:p>
        </w:tc>
        <w:tc>
          <w:tcPr>
            <w:tcW w:w="839" w:type="dxa"/>
            <w:shd w:val="clear" w:color="auto" w:fill="F3F2ED"/>
          </w:tcPr>
          <w:p w14:paraId="23ED934F" w14:textId="77777777" w:rsidR="00F100A0" w:rsidRDefault="002C4D0E">
            <w:pPr>
              <w:spacing w:after="20" w:line="240" w:lineRule="auto"/>
            </w:pPr>
            <w:r>
              <w:rPr>
                <w:b/>
                <w:sz w:val="18"/>
              </w:rPr>
              <w:t>Periodicidade</w:t>
            </w:r>
          </w:p>
        </w:tc>
      </w:tr>
      <w:tr w:rsidR="00F100A0" w14:paraId="75ADC919" w14:textId="77777777">
        <w:tc>
          <w:tcPr>
            <w:tcW w:w="839" w:type="dxa"/>
          </w:tcPr>
          <w:p w14:paraId="6194457B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CT-01</w:t>
            </w:r>
          </w:p>
        </w:tc>
        <w:tc>
          <w:tcPr>
            <w:tcW w:w="1552" w:type="dxa"/>
          </w:tcPr>
          <w:p w14:paraId="103A6A4F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Cobertura do controle</w:t>
            </w:r>
          </w:p>
        </w:tc>
        <w:tc>
          <w:tcPr>
            <w:tcW w:w="2517" w:type="dxa"/>
          </w:tcPr>
          <w:p w14:paraId="2C0D1E62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Ensaios executados no período dividido por ensaios previstos no ITP para a produção do período, por frente</w:t>
            </w:r>
          </w:p>
        </w:tc>
        <w:tc>
          <w:tcPr>
            <w:tcW w:w="1888" w:type="dxa"/>
          </w:tcPr>
          <w:p w14:paraId="0E536C99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Plataforma de dados; ITP; boletim de produção</w:t>
            </w:r>
          </w:p>
        </w:tc>
        <w:tc>
          <w:tcPr>
            <w:tcW w:w="1720" w:type="dxa"/>
          </w:tcPr>
          <w:p w14:paraId="3179D8A3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≥ 95%</w:t>
            </w:r>
          </w:p>
        </w:tc>
        <w:tc>
          <w:tcPr>
            <w:tcW w:w="839" w:type="dxa"/>
          </w:tcPr>
          <w:p w14:paraId="2A78C1C1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F100A0" w14:paraId="58834FDB" w14:textId="77777777">
        <w:tc>
          <w:tcPr>
            <w:tcW w:w="839" w:type="dxa"/>
          </w:tcPr>
          <w:p w14:paraId="2708C8EF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CT-02</w:t>
            </w:r>
          </w:p>
        </w:tc>
        <w:tc>
          <w:tcPr>
            <w:tcW w:w="1552" w:type="dxa"/>
          </w:tcPr>
          <w:p w14:paraId="17112E40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Cobertura da verificação independente</w:t>
            </w:r>
          </w:p>
        </w:tc>
        <w:tc>
          <w:tcPr>
            <w:tcW w:w="2517" w:type="dxa"/>
          </w:tcPr>
          <w:p w14:paraId="09281449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Determinações da Concessionária dividido por determinações da EXECUTORA, por família</w:t>
            </w:r>
          </w:p>
        </w:tc>
        <w:tc>
          <w:tcPr>
            <w:tcW w:w="1888" w:type="dxa"/>
          </w:tcPr>
          <w:p w14:paraId="619EEF7D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Plataforma de dados</w:t>
            </w:r>
          </w:p>
        </w:tc>
        <w:tc>
          <w:tcPr>
            <w:tcW w:w="1720" w:type="dxa"/>
          </w:tcPr>
          <w:p w14:paraId="29566661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≥ 10% e mínimos do Anexo 1</w:t>
            </w:r>
          </w:p>
        </w:tc>
        <w:tc>
          <w:tcPr>
            <w:tcW w:w="839" w:type="dxa"/>
          </w:tcPr>
          <w:p w14:paraId="72A25427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F100A0" w14:paraId="157E4431" w14:textId="77777777">
        <w:tc>
          <w:tcPr>
            <w:tcW w:w="839" w:type="dxa"/>
          </w:tcPr>
          <w:p w14:paraId="409B6FC8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CT-03</w:t>
            </w:r>
          </w:p>
        </w:tc>
        <w:tc>
          <w:tcPr>
            <w:tcW w:w="1552" w:type="dxa"/>
          </w:tcPr>
          <w:p w14:paraId="261C22BA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Conformidade na primeira avaliação</w:t>
            </w:r>
          </w:p>
        </w:tc>
        <w:tc>
          <w:tcPr>
            <w:tcW w:w="2517" w:type="dxa"/>
          </w:tcPr>
          <w:p w14:paraId="206CEF99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Lotes aceitos sem RNC dividido por lotes avaliados</w:t>
            </w:r>
          </w:p>
        </w:tc>
        <w:tc>
          <w:tcPr>
            <w:tcW w:w="1888" w:type="dxa"/>
          </w:tcPr>
          <w:p w14:paraId="0E3072A3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Relatórios de liberação; matriz de RNC</w:t>
            </w:r>
          </w:p>
        </w:tc>
        <w:tc>
          <w:tcPr>
            <w:tcW w:w="1720" w:type="dxa"/>
          </w:tcPr>
          <w:p w14:paraId="73AA9793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≥ 90%</w:t>
            </w:r>
          </w:p>
        </w:tc>
        <w:tc>
          <w:tcPr>
            <w:tcW w:w="839" w:type="dxa"/>
          </w:tcPr>
          <w:p w14:paraId="7285E3BA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F100A0" w14:paraId="76F9A0DF" w14:textId="77777777">
        <w:tc>
          <w:tcPr>
            <w:tcW w:w="839" w:type="dxa"/>
          </w:tcPr>
          <w:p w14:paraId="280ADBC0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CT-04</w:t>
            </w:r>
          </w:p>
        </w:tc>
        <w:tc>
          <w:tcPr>
            <w:tcW w:w="1552" w:type="dxa"/>
          </w:tcPr>
          <w:p w14:paraId="439D2752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RNC no prazo</w:t>
            </w:r>
          </w:p>
        </w:tc>
        <w:tc>
          <w:tcPr>
            <w:tcW w:w="2517" w:type="dxa"/>
          </w:tcPr>
          <w:p w14:paraId="7EFA5512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RNC encerrados em até 30 dias corridos dividido por RNC encerrados</w:t>
            </w:r>
          </w:p>
        </w:tc>
        <w:tc>
          <w:tcPr>
            <w:tcW w:w="1888" w:type="dxa"/>
          </w:tcPr>
          <w:p w14:paraId="649E7D09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Matriz de RNC</w:t>
            </w:r>
          </w:p>
        </w:tc>
        <w:tc>
          <w:tcPr>
            <w:tcW w:w="1720" w:type="dxa"/>
          </w:tcPr>
          <w:p w14:paraId="2F2FB8E2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839" w:type="dxa"/>
          </w:tcPr>
          <w:p w14:paraId="54D47E2E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F100A0" w14:paraId="5393450D" w14:textId="77777777">
        <w:tc>
          <w:tcPr>
            <w:tcW w:w="839" w:type="dxa"/>
          </w:tcPr>
          <w:p w14:paraId="619D7602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CT-05</w:t>
            </w:r>
          </w:p>
        </w:tc>
        <w:tc>
          <w:tcPr>
            <w:tcW w:w="1552" w:type="dxa"/>
          </w:tcPr>
          <w:p w14:paraId="70C51340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RNC vencidos</w:t>
            </w:r>
          </w:p>
        </w:tc>
        <w:tc>
          <w:tcPr>
            <w:tcW w:w="2517" w:type="dxa"/>
          </w:tcPr>
          <w:p w14:paraId="53806700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Quantidade de RNC abertos com prazo expirado</w:t>
            </w:r>
          </w:p>
        </w:tc>
        <w:tc>
          <w:tcPr>
            <w:tcW w:w="1888" w:type="dxa"/>
          </w:tcPr>
          <w:p w14:paraId="7FFC4270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Matriz de RNC</w:t>
            </w:r>
          </w:p>
        </w:tc>
        <w:tc>
          <w:tcPr>
            <w:tcW w:w="1720" w:type="dxa"/>
          </w:tcPr>
          <w:p w14:paraId="0B8DC1EB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839" w:type="dxa"/>
          </w:tcPr>
          <w:p w14:paraId="58551854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Semanal</w:t>
            </w:r>
          </w:p>
        </w:tc>
      </w:tr>
      <w:tr w:rsidR="00F100A0" w14:paraId="2EB697A0" w14:textId="77777777">
        <w:tc>
          <w:tcPr>
            <w:tcW w:w="839" w:type="dxa"/>
          </w:tcPr>
          <w:p w14:paraId="53CCEB33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CT-06</w:t>
            </w:r>
          </w:p>
        </w:tc>
        <w:tc>
          <w:tcPr>
            <w:tcW w:w="1552" w:type="dxa"/>
          </w:tcPr>
          <w:p w14:paraId="7767D772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Prazo de laudo</w:t>
            </w:r>
          </w:p>
        </w:tc>
        <w:tc>
          <w:tcPr>
            <w:tcW w:w="2517" w:type="dxa"/>
          </w:tcPr>
          <w:p w14:paraId="65C11B09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Laudos emitidos no prazo da classe de urgência dividido por laudos emitidos</w:t>
            </w:r>
          </w:p>
        </w:tc>
        <w:tc>
          <w:tcPr>
            <w:tcW w:w="1888" w:type="dxa"/>
          </w:tcPr>
          <w:p w14:paraId="3C371464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Plataforma de dados; OS</w:t>
            </w:r>
          </w:p>
        </w:tc>
        <w:tc>
          <w:tcPr>
            <w:tcW w:w="1720" w:type="dxa"/>
          </w:tcPr>
          <w:p w14:paraId="28161E4A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≥ 95%</w:t>
            </w:r>
          </w:p>
        </w:tc>
        <w:tc>
          <w:tcPr>
            <w:tcW w:w="839" w:type="dxa"/>
          </w:tcPr>
          <w:p w14:paraId="7394CE2D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F100A0" w14:paraId="67C491D1" w14:textId="77777777">
        <w:tc>
          <w:tcPr>
            <w:tcW w:w="839" w:type="dxa"/>
          </w:tcPr>
          <w:p w14:paraId="2DE39198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CT-07</w:t>
            </w:r>
          </w:p>
        </w:tc>
        <w:tc>
          <w:tcPr>
            <w:tcW w:w="1552" w:type="dxa"/>
          </w:tcPr>
          <w:p w14:paraId="0E553E1A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Divergência entre laboratórios</w:t>
            </w:r>
          </w:p>
        </w:tc>
        <w:tc>
          <w:tcPr>
            <w:tcW w:w="2517" w:type="dxa"/>
          </w:tcPr>
          <w:p w14:paraId="773C22AA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Verificações com divergência dividido por verificações comparáveis, por propriedade e laboratório</w:t>
            </w:r>
          </w:p>
        </w:tc>
        <w:tc>
          <w:tcPr>
            <w:tcW w:w="1888" w:type="dxa"/>
          </w:tcPr>
          <w:p w14:paraId="590ACEF0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Plataforma de dados; atas</w:t>
            </w:r>
          </w:p>
        </w:tc>
        <w:tc>
          <w:tcPr>
            <w:tcW w:w="1720" w:type="dxa"/>
          </w:tcPr>
          <w:p w14:paraId="0EB1BEB5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≤ 5%, sem divergência sistemática</w:t>
            </w:r>
          </w:p>
        </w:tc>
        <w:tc>
          <w:tcPr>
            <w:tcW w:w="839" w:type="dxa"/>
          </w:tcPr>
          <w:p w14:paraId="53EDE059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F100A0" w14:paraId="218748B2" w14:textId="77777777">
        <w:tc>
          <w:tcPr>
            <w:tcW w:w="839" w:type="dxa"/>
          </w:tcPr>
          <w:p w14:paraId="7B1AF6CF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lastRenderedPageBreak/>
              <w:t>CT-08</w:t>
            </w:r>
          </w:p>
        </w:tc>
        <w:tc>
          <w:tcPr>
            <w:tcW w:w="1552" w:type="dxa"/>
          </w:tcPr>
          <w:p w14:paraId="547B5504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Calibração vigente</w:t>
            </w:r>
          </w:p>
        </w:tc>
        <w:tc>
          <w:tcPr>
            <w:tcW w:w="2517" w:type="dxa"/>
          </w:tcPr>
          <w:p w14:paraId="1A7950FF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Equipamentos com certificado válido dividido por equipamentos em uso</w:t>
            </w:r>
          </w:p>
        </w:tc>
        <w:tc>
          <w:tcPr>
            <w:tcW w:w="1888" w:type="dxa"/>
          </w:tcPr>
          <w:p w14:paraId="3B25189C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Cadastro de equipamentos</w:t>
            </w:r>
          </w:p>
        </w:tc>
        <w:tc>
          <w:tcPr>
            <w:tcW w:w="1720" w:type="dxa"/>
          </w:tcPr>
          <w:p w14:paraId="192DE793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839" w:type="dxa"/>
          </w:tcPr>
          <w:p w14:paraId="1119B025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F100A0" w14:paraId="4711E93B" w14:textId="77777777">
        <w:tc>
          <w:tcPr>
            <w:tcW w:w="839" w:type="dxa"/>
          </w:tcPr>
          <w:p w14:paraId="5DFC928E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CT-09</w:t>
            </w:r>
          </w:p>
        </w:tc>
        <w:tc>
          <w:tcPr>
            <w:tcW w:w="1552" w:type="dxa"/>
          </w:tcPr>
          <w:p w14:paraId="3D8F2CC6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Pontos H com liberação registrada</w:t>
            </w:r>
          </w:p>
        </w:tc>
        <w:tc>
          <w:tcPr>
            <w:tcW w:w="2517" w:type="dxa"/>
          </w:tcPr>
          <w:p w14:paraId="38B583F1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Liberações registradas dividido por pontos H ocorridos</w:t>
            </w:r>
          </w:p>
        </w:tc>
        <w:tc>
          <w:tcPr>
            <w:tcW w:w="1888" w:type="dxa"/>
          </w:tcPr>
          <w:p w14:paraId="2693907D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Registros de liberação; diário de obra</w:t>
            </w:r>
          </w:p>
        </w:tc>
        <w:tc>
          <w:tcPr>
            <w:tcW w:w="1720" w:type="dxa"/>
          </w:tcPr>
          <w:p w14:paraId="061AE062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839" w:type="dxa"/>
          </w:tcPr>
          <w:p w14:paraId="501EC254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F100A0" w14:paraId="105239F9" w14:textId="77777777">
        <w:tc>
          <w:tcPr>
            <w:tcW w:w="839" w:type="dxa"/>
          </w:tcPr>
          <w:p w14:paraId="152D58AC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CT-10</w:t>
            </w:r>
          </w:p>
        </w:tc>
        <w:tc>
          <w:tcPr>
            <w:tcW w:w="1552" w:type="dxa"/>
          </w:tcPr>
          <w:p w14:paraId="07AF88F8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Capacidade do processo</w:t>
            </w:r>
          </w:p>
        </w:tc>
        <w:tc>
          <w:tcPr>
            <w:tcW w:w="2517" w:type="dxa"/>
          </w:tcPr>
          <w:p w14:paraId="74263455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Cpk por propriedade crítica, usina e traço, calculado com os limites de projeto</w:t>
            </w:r>
          </w:p>
        </w:tc>
        <w:tc>
          <w:tcPr>
            <w:tcW w:w="1888" w:type="dxa"/>
          </w:tcPr>
          <w:p w14:paraId="78B2A174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Plataforma de dados</w:t>
            </w:r>
          </w:p>
        </w:tc>
        <w:tc>
          <w:tcPr>
            <w:tcW w:w="1720" w:type="dxa"/>
          </w:tcPr>
          <w:p w14:paraId="77E8D3A7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Informativo; plano de ação abaixo de 1,00</w:t>
            </w:r>
          </w:p>
        </w:tc>
        <w:tc>
          <w:tcPr>
            <w:tcW w:w="839" w:type="dxa"/>
          </w:tcPr>
          <w:p w14:paraId="3A0C98E4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F100A0" w14:paraId="29FA0518" w14:textId="77777777">
        <w:tc>
          <w:tcPr>
            <w:tcW w:w="839" w:type="dxa"/>
          </w:tcPr>
          <w:p w14:paraId="3D86C273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CT-11</w:t>
            </w:r>
          </w:p>
        </w:tc>
        <w:tc>
          <w:tcPr>
            <w:tcW w:w="1552" w:type="dxa"/>
          </w:tcPr>
          <w:p w14:paraId="75DE8A12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Diligências realizadas</w:t>
            </w:r>
          </w:p>
        </w:tc>
        <w:tc>
          <w:tcPr>
            <w:tcW w:w="2517" w:type="dxa"/>
          </w:tcPr>
          <w:p w14:paraId="7563BBA3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Diligências realizadas dividido por diligências programadas (qualificação, acompanhamento, extraordinária)</w:t>
            </w:r>
          </w:p>
        </w:tc>
        <w:tc>
          <w:tcPr>
            <w:tcW w:w="1888" w:type="dxa"/>
          </w:tcPr>
          <w:p w14:paraId="0E225A06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OS; relatórios de diligência</w:t>
            </w:r>
          </w:p>
        </w:tc>
        <w:tc>
          <w:tcPr>
            <w:tcW w:w="1720" w:type="dxa"/>
          </w:tcPr>
          <w:p w14:paraId="56E44AC1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839" w:type="dxa"/>
          </w:tcPr>
          <w:p w14:paraId="0F14BF42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  <w:tr w:rsidR="00F100A0" w14:paraId="670E475E" w14:textId="77777777">
        <w:tc>
          <w:tcPr>
            <w:tcW w:w="839" w:type="dxa"/>
          </w:tcPr>
          <w:p w14:paraId="77A23372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CT-12</w:t>
            </w:r>
          </w:p>
        </w:tc>
        <w:tc>
          <w:tcPr>
            <w:tcW w:w="1552" w:type="dxa"/>
          </w:tcPr>
          <w:p w14:paraId="249C926E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Entrega de dados</w:t>
            </w:r>
          </w:p>
        </w:tc>
        <w:tc>
          <w:tcPr>
            <w:tcW w:w="2517" w:type="dxa"/>
          </w:tcPr>
          <w:p w14:paraId="25AA3CBC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Registros lançados em até 1 dia útil dividido por registros lançados</w:t>
            </w:r>
          </w:p>
        </w:tc>
        <w:tc>
          <w:tcPr>
            <w:tcW w:w="1888" w:type="dxa"/>
          </w:tcPr>
          <w:p w14:paraId="0EE8C9AC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Plataforma de dados</w:t>
            </w:r>
          </w:p>
        </w:tc>
        <w:tc>
          <w:tcPr>
            <w:tcW w:w="1720" w:type="dxa"/>
          </w:tcPr>
          <w:p w14:paraId="138D8901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≥ 95%</w:t>
            </w:r>
          </w:p>
        </w:tc>
        <w:tc>
          <w:tcPr>
            <w:tcW w:w="839" w:type="dxa"/>
          </w:tcPr>
          <w:p w14:paraId="37CDA3B6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Mensal</w:t>
            </w:r>
          </w:p>
        </w:tc>
      </w:tr>
    </w:tbl>
    <w:p w14:paraId="29D4E194" w14:textId="77777777" w:rsidR="00F100A0" w:rsidRDefault="00F100A0">
      <w:pPr>
        <w:spacing w:after="40"/>
      </w:pPr>
    </w:p>
    <w:p w14:paraId="66DEAAFA" w14:textId="77777777" w:rsidR="00F100A0" w:rsidRDefault="002C4D0E">
      <w:pPr>
        <w:spacing w:after="120"/>
      </w:pPr>
      <w:r>
        <w:t>Propriedades críticas para o CT-10: teor de ligante, granulometria (peneira 0,075 mm), grau de compactação, vazios da mistura asfáltica, resistência do concreto.</w:t>
      </w:r>
    </w:p>
    <w:p w14:paraId="07522C37" w14:textId="77777777" w:rsidR="00F100A0" w:rsidRDefault="002C4D0E">
      <w:pPr>
        <w:pStyle w:val="Ttulo1"/>
        <w:spacing w:before="280" w:after="120"/>
      </w:pPr>
      <w:r>
        <w:rPr>
          <w:rFonts w:ascii="Calibri" w:eastAsia="Calibri" w:hAnsi="Calibri" w:cs="Calibri"/>
        </w:rPr>
        <w:t>3. Regras de cálculo</w:t>
      </w:r>
    </w:p>
    <w:p w14:paraId="7676E2F7" w14:textId="77777777" w:rsidR="00F100A0" w:rsidRDefault="002C4D0E">
      <w:pPr>
        <w:pStyle w:val="Commarcadores"/>
        <w:spacing w:after="60"/>
      </w:pPr>
      <w:r>
        <w:t>Período: mês civil, com corte no último dia; o relatório mensal é entregue em 5 dias úteis.</w:t>
      </w:r>
    </w:p>
    <w:p w14:paraId="49EE0548" w14:textId="77777777" w:rsidR="00F100A0" w:rsidRDefault="002C4D0E">
      <w:pPr>
        <w:pStyle w:val="Commarcadores"/>
        <w:spacing w:after="60"/>
      </w:pPr>
      <w:r>
        <w:t>Denominador zero: o indicador é informado como não aplicável no período, sem contar para a meta.</w:t>
      </w:r>
    </w:p>
    <w:p w14:paraId="4B4D7632" w14:textId="77777777" w:rsidR="00F100A0" w:rsidRDefault="002C4D0E">
      <w:pPr>
        <w:pStyle w:val="Commarcadores"/>
        <w:spacing w:after="60"/>
      </w:pPr>
      <w:r>
        <w:t>Dados de origem: a plataforma de dados, quando indicada; até lá, o banco editável entregue no CDE.</w:t>
      </w:r>
    </w:p>
    <w:p w14:paraId="75BC2A3D" w14:textId="77777777" w:rsidR="00F100A0" w:rsidRDefault="002C4D0E">
      <w:pPr>
        <w:pStyle w:val="Commarcadores"/>
        <w:spacing w:after="60"/>
      </w:pPr>
      <w:r>
        <w:t>Cada indicador é apresentado por frente, por família de material e consolidado por obra e por zona.</w:t>
      </w:r>
    </w:p>
    <w:p w14:paraId="4EAD4A57" w14:textId="77777777" w:rsidR="00F100A0" w:rsidRDefault="002C4D0E">
      <w:pPr>
        <w:pStyle w:val="Commarcadores"/>
        <w:spacing w:after="60"/>
      </w:pPr>
      <w:r>
        <w:t>Séries históricas são mantidas desde a primeira OS; a mudança de regra de cálculo é registrada com a data de início.</w:t>
      </w:r>
    </w:p>
    <w:p w14:paraId="6909BFE6" w14:textId="77777777" w:rsidR="00F100A0" w:rsidRDefault="002C4D0E">
      <w:pPr>
        <w:pStyle w:val="Ttulo1"/>
        <w:spacing w:before="280" w:after="120"/>
      </w:pPr>
      <w:r>
        <w:rPr>
          <w:rFonts w:ascii="Calibri" w:eastAsia="Calibri" w:hAnsi="Calibri" w:cs="Calibri"/>
        </w:rPr>
        <w:t>4. Painel mensal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7016"/>
      </w:tblGrid>
      <w:tr w:rsidR="00F100A0" w14:paraId="2685F7D3" w14:textId="77777777">
        <w:trPr>
          <w:tblHeader/>
        </w:trPr>
        <w:tc>
          <w:tcPr>
            <w:tcW w:w="2339" w:type="dxa"/>
            <w:shd w:val="clear" w:color="auto" w:fill="F3F2ED"/>
          </w:tcPr>
          <w:p w14:paraId="3613C1A8" w14:textId="77777777" w:rsidR="00F100A0" w:rsidRDefault="002C4D0E">
            <w:pPr>
              <w:spacing w:after="20" w:line="240" w:lineRule="auto"/>
            </w:pPr>
            <w:r>
              <w:rPr>
                <w:b/>
                <w:sz w:val="18"/>
              </w:rPr>
              <w:t>Bloco</w:t>
            </w:r>
          </w:p>
        </w:tc>
        <w:tc>
          <w:tcPr>
            <w:tcW w:w="7016" w:type="dxa"/>
            <w:shd w:val="clear" w:color="auto" w:fill="F3F2ED"/>
          </w:tcPr>
          <w:p w14:paraId="2EF92179" w14:textId="77777777" w:rsidR="00F100A0" w:rsidRDefault="002C4D0E">
            <w:pPr>
              <w:spacing w:after="20" w:line="240" w:lineRule="auto"/>
            </w:pPr>
            <w:r>
              <w:rPr>
                <w:b/>
                <w:sz w:val="18"/>
              </w:rPr>
              <w:t>Conteúdo</w:t>
            </w:r>
          </w:p>
        </w:tc>
      </w:tr>
      <w:tr w:rsidR="00F100A0" w14:paraId="366E64F3" w14:textId="77777777">
        <w:tc>
          <w:tcPr>
            <w:tcW w:w="2339" w:type="dxa"/>
          </w:tcPr>
          <w:p w14:paraId="7C811D76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Resumo</w:t>
            </w:r>
          </w:p>
        </w:tc>
        <w:tc>
          <w:tcPr>
            <w:tcW w:w="7016" w:type="dxa"/>
          </w:tcPr>
          <w:p w14:paraId="00542079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Três números: lotes avaliados, RNC abertos, RNC vencidos</w:t>
            </w:r>
          </w:p>
        </w:tc>
      </w:tr>
      <w:tr w:rsidR="00F100A0" w14:paraId="5D243954" w14:textId="77777777">
        <w:tc>
          <w:tcPr>
            <w:tcW w:w="2339" w:type="dxa"/>
          </w:tcPr>
          <w:p w14:paraId="44239173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Cobertura</w:t>
            </w:r>
          </w:p>
        </w:tc>
        <w:tc>
          <w:tcPr>
            <w:tcW w:w="7016" w:type="dxa"/>
          </w:tcPr>
          <w:p w14:paraId="238FC278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CT-01 e CT-02 por frente e família, com a produção do período</w:t>
            </w:r>
          </w:p>
        </w:tc>
      </w:tr>
      <w:tr w:rsidR="00F100A0" w14:paraId="657E14F3" w14:textId="77777777">
        <w:tc>
          <w:tcPr>
            <w:tcW w:w="2339" w:type="dxa"/>
          </w:tcPr>
          <w:p w14:paraId="51B82D25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Qualidade</w:t>
            </w:r>
          </w:p>
        </w:tc>
        <w:tc>
          <w:tcPr>
            <w:tcW w:w="7016" w:type="dxa"/>
          </w:tcPr>
          <w:p w14:paraId="21A8D848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CT-03 e CT-10, com cartas de controle das propriedades críticas por usina e traço</w:t>
            </w:r>
          </w:p>
        </w:tc>
      </w:tr>
      <w:tr w:rsidR="00F100A0" w14:paraId="28AA8C86" w14:textId="77777777">
        <w:tc>
          <w:tcPr>
            <w:tcW w:w="2339" w:type="dxa"/>
          </w:tcPr>
          <w:p w14:paraId="30F6A377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Não conformidades</w:t>
            </w:r>
          </w:p>
        </w:tc>
        <w:tc>
          <w:tcPr>
            <w:tcW w:w="7016" w:type="dxa"/>
          </w:tcPr>
          <w:p w14:paraId="00E9E95F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CT-04 e CT-05; matriz de RNC abertos com classe, idade e responsável; RNC repetidos</w:t>
            </w:r>
          </w:p>
        </w:tc>
      </w:tr>
      <w:tr w:rsidR="00F100A0" w14:paraId="1B78A1C8" w14:textId="77777777">
        <w:tc>
          <w:tcPr>
            <w:tcW w:w="2339" w:type="dxa"/>
          </w:tcPr>
          <w:p w14:paraId="31DDAE33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Laboratórios</w:t>
            </w:r>
          </w:p>
        </w:tc>
        <w:tc>
          <w:tcPr>
            <w:tcW w:w="7016" w:type="dxa"/>
          </w:tcPr>
          <w:p w14:paraId="20709E61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CT-06, CT-07, CT-08 e CT-11; divergências por propriedade e laboratório</w:t>
            </w:r>
          </w:p>
        </w:tc>
      </w:tr>
      <w:tr w:rsidR="00F100A0" w14:paraId="664276C0" w14:textId="77777777">
        <w:tc>
          <w:tcPr>
            <w:tcW w:w="2339" w:type="dxa"/>
          </w:tcPr>
          <w:p w14:paraId="7DE329C4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Acervo</w:t>
            </w:r>
          </w:p>
        </w:tc>
        <w:tc>
          <w:tcPr>
            <w:tcW w:w="7016" w:type="dxa"/>
          </w:tcPr>
          <w:p w14:paraId="0EC63DED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CT-09 e CT-12; pendências de entrega no CDE e na plataforma</w:t>
            </w:r>
          </w:p>
        </w:tc>
      </w:tr>
      <w:tr w:rsidR="00F100A0" w14:paraId="7E51B27D" w14:textId="77777777">
        <w:tc>
          <w:tcPr>
            <w:tcW w:w="2339" w:type="dxa"/>
          </w:tcPr>
          <w:p w14:paraId="1ED292CC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Ações</w:t>
            </w:r>
          </w:p>
        </w:tc>
        <w:tc>
          <w:tcPr>
            <w:tcW w:w="7016" w:type="dxa"/>
          </w:tcPr>
          <w:p w14:paraId="0F5656EE" w14:textId="77777777" w:rsidR="00F100A0" w:rsidRDefault="002C4D0E">
            <w:pPr>
              <w:spacing w:after="20" w:line="240" w:lineRule="auto"/>
            </w:pPr>
            <w:r>
              <w:rPr>
                <w:sz w:val="18"/>
              </w:rPr>
              <w:t>Planos de ação abertos, com responsável e prazo; metas não atingidas por 2 meses seguidos</w:t>
            </w:r>
          </w:p>
        </w:tc>
      </w:tr>
    </w:tbl>
    <w:p w14:paraId="1F3950EF" w14:textId="77777777" w:rsidR="00F100A0" w:rsidRDefault="00F100A0">
      <w:pPr>
        <w:spacing w:after="40"/>
      </w:pPr>
    </w:p>
    <w:p w14:paraId="74E2AD79" w14:textId="77777777" w:rsidR="00F100A0" w:rsidRDefault="002C4D0E">
      <w:pPr>
        <w:pStyle w:val="Ttulo1"/>
        <w:spacing w:before="280" w:after="120"/>
      </w:pPr>
      <w:r>
        <w:rPr>
          <w:rFonts w:ascii="Calibri" w:eastAsia="Calibri" w:hAnsi="Calibri" w:cs="Calibri"/>
        </w:rPr>
        <w:lastRenderedPageBreak/>
        <w:t>5. Uso dos indicadores</w:t>
      </w:r>
    </w:p>
    <w:p w14:paraId="3725F431" w14:textId="77777777" w:rsidR="00F100A0" w:rsidRDefault="002C4D0E">
      <w:pPr>
        <w:spacing w:after="120"/>
      </w:pPr>
      <w:r>
        <w:t>Os indicadores são revisados na reunião mensal de análise de resultados, com a Coordenação de Pavimento e Controle Tecnológico, a Fiscalização, o responsável técnico do laboratório contratado e, quando convocada, a EXECUTORA. Meta não atingida por 2 meses seguidos gera plano de ação com responsável e prazo. Os indicadores alimentam a avaliação de desempenho dos fornecedores e a revisão anual desta política.</w:t>
      </w:r>
    </w:p>
    <w:sectPr w:rsidR="00F100A0" w:rsidSect="00034616">
      <w:headerReference w:type="default" r:id="rId8"/>
      <w:footerReference w:type="default" r:id="rId9"/>
      <w:pgSz w:w="11906" w:h="16838"/>
      <w:pgMar w:top="2381" w:right="1134" w:bottom="1814" w:left="1417" w:header="79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8C053" w14:textId="77777777" w:rsidR="002C4D0E" w:rsidRDefault="002C4D0E">
      <w:pPr>
        <w:spacing w:after="0" w:line="240" w:lineRule="auto"/>
      </w:pPr>
      <w:r>
        <w:separator/>
      </w:r>
    </w:p>
  </w:endnote>
  <w:endnote w:type="continuationSeparator" w:id="0">
    <w:p w14:paraId="4E8F355F" w14:textId="77777777" w:rsidR="002C4D0E" w:rsidRDefault="002C4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7937"/>
      <w:gridCol w:w="1417"/>
    </w:tblGrid>
    <w:tr w:rsidR="00F100A0" w14:paraId="07DDB0B8" w14:textId="77777777">
      <w:tc>
        <w:tcPr>
          <w:tcW w:w="7937" w:type="dxa"/>
          <w:tcBorders>
            <w:bottom w:val="single" w:sz="12" w:space="0" w:color="F5BA00"/>
          </w:tcBorders>
        </w:tcPr>
        <w:p w14:paraId="73174333" w14:textId="77777777" w:rsidR="00F100A0" w:rsidRDefault="00F100A0">
          <w:pPr>
            <w:spacing w:after="0" w:line="40" w:lineRule="exact"/>
          </w:pPr>
        </w:p>
      </w:tc>
      <w:tc>
        <w:tcPr>
          <w:tcW w:w="1417" w:type="dxa"/>
          <w:tcBorders>
            <w:bottom w:val="single" w:sz="12" w:space="0" w:color="064B63"/>
          </w:tcBorders>
        </w:tcPr>
        <w:p w14:paraId="5E79F5F5" w14:textId="77777777" w:rsidR="00F100A0" w:rsidRDefault="00F100A0">
          <w:pPr>
            <w:spacing w:after="0" w:line="40" w:lineRule="exact"/>
          </w:pPr>
        </w:p>
      </w:tc>
    </w:tr>
  </w:tbl>
  <w:p w14:paraId="5ED127DB" w14:textId="77777777" w:rsidR="00F100A0" w:rsidRDefault="002C4D0E">
    <w:pPr>
      <w:spacing w:after="0"/>
    </w:pPr>
    <w:r>
      <w:rPr>
        <w:color w:val="617177"/>
        <w:sz w:val="15"/>
      </w:rPr>
      <w:t>Concessionária 116 Sertões S.A. · CNPJ 68.576.407/0001-03 · Concessão Rota dos Sertões · BR-116/PE/BA e BR-324/BA</w:t>
    </w:r>
  </w:p>
  <w:p w14:paraId="18F2F26C" w14:textId="77777777" w:rsidR="00F100A0" w:rsidRDefault="002C4D0E">
    <w:pPr>
      <w:spacing w:after="0"/>
    </w:pPr>
    <w:r>
      <w:rPr>
        <w:color w:val="617177"/>
        <w:sz w:val="15"/>
      </w:rPr>
      <w:t>Alameda Salvador, 1057 · Torre América, sala 1115 · Salvador/BA</w:t>
    </w:r>
  </w:p>
  <w:p w14:paraId="3B4AE85C" w14:textId="77777777" w:rsidR="00F100A0" w:rsidRDefault="002C4D0E">
    <w:pPr>
      <w:spacing w:after="0"/>
      <w:jc w:val="right"/>
    </w:pPr>
    <w:r>
      <w:rPr>
        <w:color w:val="617177"/>
        <w:sz w:val="15"/>
      </w:rPr>
      <w:fldChar w:fldCharType="begin"/>
    </w:r>
    <w:r>
      <w:rPr>
        <w:color w:val="617177"/>
        <w:sz w:val="15"/>
      </w:rPr>
      <w:instrText>PAGE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  <w:r>
      <w:rPr>
        <w:color w:val="617177"/>
        <w:sz w:val="15"/>
      </w:rPr>
      <w:t xml:space="preserve"> de </w:t>
    </w:r>
    <w:r>
      <w:rPr>
        <w:color w:val="617177"/>
        <w:sz w:val="15"/>
      </w:rPr>
      <w:fldChar w:fldCharType="begin"/>
    </w:r>
    <w:r>
      <w:rPr>
        <w:color w:val="617177"/>
        <w:sz w:val="15"/>
      </w:rPr>
      <w:instrText>NUMPAGES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53F08" w14:textId="77777777" w:rsidR="002C4D0E" w:rsidRDefault="002C4D0E">
      <w:pPr>
        <w:spacing w:after="0" w:line="240" w:lineRule="auto"/>
      </w:pPr>
      <w:r>
        <w:separator/>
      </w:r>
    </w:p>
  </w:footnote>
  <w:footnote w:type="continuationSeparator" w:id="0">
    <w:p w14:paraId="37339B23" w14:textId="77777777" w:rsidR="002C4D0E" w:rsidRDefault="002C4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0C6CB" w14:textId="77777777" w:rsidR="00F100A0" w:rsidRDefault="002C4D0E">
    <w:r>
      <w:rPr>
        <w:noProof/>
      </w:rPr>
      <w:drawing>
        <wp:inline distT="0" distB="0" distL="0" distR="0" wp14:anchorId="719305F9" wp14:editId="30591872">
          <wp:extent cx="1872000" cy="5019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orizontal_c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50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7629615">
    <w:abstractNumId w:val="8"/>
  </w:num>
  <w:num w:numId="2" w16cid:durableId="317004070">
    <w:abstractNumId w:val="6"/>
  </w:num>
  <w:num w:numId="3" w16cid:durableId="843016052">
    <w:abstractNumId w:val="5"/>
  </w:num>
  <w:num w:numId="4" w16cid:durableId="794444064">
    <w:abstractNumId w:val="4"/>
  </w:num>
  <w:num w:numId="5" w16cid:durableId="668942926">
    <w:abstractNumId w:val="7"/>
  </w:num>
  <w:num w:numId="6" w16cid:durableId="700015353">
    <w:abstractNumId w:val="3"/>
  </w:num>
  <w:num w:numId="7" w16cid:durableId="648092656">
    <w:abstractNumId w:val="2"/>
  </w:num>
  <w:num w:numId="8" w16cid:durableId="1801612731">
    <w:abstractNumId w:val="1"/>
  </w:num>
  <w:num w:numId="9" w16cid:durableId="12007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D0E"/>
    <w:rsid w:val="00326F90"/>
    <w:rsid w:val="008310A9"/>
    <w:rsid w:val="00AA1D8D"/>
    <w:rsid w:val="00B47730"/>
    <w:rsid w:val="00CB0664"/>
    <w:rsid w:val="00F100A0"/>
    <w:rsid w:val="00F141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FC4E49"/>
  <w14:defaultImageDpi w14:val="300"/>
  <w15:docId w15:val="{B392730E-1294-44D8-8614-AA20F0A3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eastAsia="Calibri" w:hAnsi="Calibri" w:cs="Calibri"/>
      <w:color w:val="064B6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3587</Characters>
  <Application>Microsoft Office Word</Application>
  <DocSecurity>0</DocSecurity>
  <Lines>192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Indicadores de controle tecnológico R00</dc:title>
  <dc:subject>Política de Controle Tecnológico de Obras</dc:subject>
  <dc:creator>Concessionária 116 Sertões S.A.</dc:creator>
  <cp:keywords>POL-CT-116-A5; R00; PR; controle tecnológico; Rota dos Sertões</cp:keywords>
  <dc:description>generated by python-docx</dc:description>
  <cp:lastModifiedBy>Danillo Oliveira</cp:lastModifiedBy>
  <cp:revision>2</cp:revision>
  <dcterms:created xsi:type="dcterms:W3CDTF">2013-12-23T23:15:00Z</dcterms:created>
  <dcterms:modified xsi:type="dcterms:W3CDTF">2026-10-17T04:41:00Z</dcterms:modified>
  <cp:category/>
  <cp:version>R00</cp:version>
</cp:coreProperties>
</file>