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ECB0" w14:textId="77777777" w:rsidR="00E436D0" w:rsidRDefault="00D46B25">
      <w:r>
        <w:rPr>
          <w:b/>
          <w:color w:val="617177"/>
        </w:rPr>
        <w:t>ANEXO 3 DA POLÍTICA DE CONTROLE TECNOLÓGICO DE OBRAS</w:t>
      </w:r>
    </w:p>
    <w:p w14:paraId="36660C08" w14:textId="77777777" w:rsidR="00E436D0" w:rsidRDefault="00D46B25">
      <w:pPr>
        <w:spacing w:before="80"/>
      </w:pPr>
      <w:r>
        <w:rPr>
          <w:b/>
          <w:sz w:val="36"/>
        </w:rPr>
        <w:t>Divergência entre laboratórios</w:t>
      </w:r>
    </w:p>
    <w:p w14:paraId="03E85E8F" w14:textId="77777777" w:rsidR="00E436D0" w:rsidRDefault="00D46B25">
      <w:pPr>
        <w:spacing w:before="160"/>
      </w:pPr>
      <w:r>
        <w:rPr>
          <w:color w:val="617177"/>
          <w:sz w:val="21"/>
        </w:rPr>
        <w:t>Código POL-CT-116-A3 · Revisão R00 · 17/10/2026 · Status PR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4677"/>
      </w:tblGrid>
      <w:tr w:rsidR="00E436D0" w14:paraId="62EFA68D" w14:textId="77777777">
        <w:trPr>
          <w:tblHeader/>
        </w:trPr>
        <w:tc>
          <w:tcPr>
            <w:tcW w:w="1559" w:type="dxa"/>
            <w:shd w:val="clear" w:color="auto" w:fill="F3F2ED"/>
          </w:tcPr>
          <w:p w14:paraId="04804AA7" w14:textId="77777777" w:rsidR="00E436D0" w:rsidRDefault="00D46B25">
            <w:pPr>
              <w:spacing w:after="20" w:line="240" w:lineRule="auto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559" w:type="dxa"/>
            <w:shd w:val="clear" w:color="auto" w:fill="F3F2ED"/>
          </w:tcPr>
          <w:p w14:paraId="48BC8CB5" w14:textId="77777777" w:rsidR="00E436D0" w:rsidRDefault="00D46B25">
            <w:pPr>
              <w:spacing w:after="20" w:line="240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559" w:type="dxa"/>
            <w:shd w:val="clear" w:color="auto" w:fill="F3F2ED"/>
          </w:tcPr>
          <w:p w14:paraId="046EE3C2" w14:textId="77777777" w:rsidR="00E436D0" w:rsidRDefault="00D46B25">
            <w:pPr>
              <w:spacing w:after="20" w:line="240" w:lineRule="auto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677" w:type="dxa"/>
            <w:shd w:val="clear" w:color="auto" w:fill="F3F2ED"/>
          </w:tcPr>
          <w:p w14:paraId="2D244173" w14:textId="77777777" w:rsidR="00E436D0" w:rsidRDefault="00D46B25">
            <w:pPr>
              <w:spacing w:after="20" w:line="240" w:lineRule="auto"/>
            </w:pPr>
            <w:r>
              <w:rPr>
                <w:b/>
                <w:sz w:val="19"/>
              </w:rPr>
              <w:t>Descrição</w:t>
            </w:r>
          </w:p>
        </w:tc>
      </w:tr>
      <w:tr w:rsidR="00E436D0" w14:paraId="79872535" w14:textId="77777777">
        <w:tc>
          <w:tcPr>
            <w:tcW w:w="1559" w:type="dxa"/>
          </w:tcPr>
          <w:p w14:paraId="1ED55DE5" w14:textId="77777777" w:rsidR="00E436D0" w:rsidRDefault="00D46B25">
            <w:pPr>
              <w:spacing w:after="20" w:line="240" w:lineRule="auto"/>
            </w:pPr>
            <w:r>
              <w:rPr>
                <w:sz w:val="19"/>
              </w:rPr>
              <w:t>R00</w:t>
            </w:r>
          </w:p>
        </w:tc>
        <w:tc>
          <w:tcPr>
            <w:tcW w:w="1559" w:type="dxa"/>
          </w:tcPr>
          <w:p w14:paraId="7A7FD887" w14:textId="77777777" w:rsidR="00E436D0" w:rsidRDefault="00D46B25">
            <w:pPr>
              <w:spacing w:after="20" w:line="240" w:lineRule="auto"/>
            </w:pPr>
            <w:r>
              <w:rPr>
                <w:sz w:val="19"/>
              </w:rPr>
              <w:t>17/10/2026</w:t>
            </w:r>
          </w:p>
        </w:tc>
        <w:tc>
          <w:tcPr>
            <w:tcW w:w="1559" w:type="dxa"/>
          </w:tcPr>
          <w:p w14:paraId="15A2B80B" w14:textId="77777777" w:rsidR="00E436D0" w:rsidRDefault="00D46B25">
            <w:pPr>
              <w:spacing w:after="20" w:line="240" w:lineRule="auto"/>
            </w:pPr>
            <w:r>
              <w:rPr>
                <w:sz w:val="19"/>
              </w:rPr>
              <w:t>PR</w:t>
            </w:r>
          </w:p>
        </w:tc>
        <w:tc>
          <w:tcPr>
            <w:tcW w:w="4677" w:type="dxa"/>
          </w:tcPr>
          <w:p w14:paraId="1E7B415C" w14:textId="77777777" w:rsidR="00E436D0" w:rsidRDefault="00D46B25">
            <w:pPr>
              <w:spacing w:after="20" w:line="240" w:lineRule="auto"/>
            </w:pPr>
            <w:r>
              <w:rPr>
                <w:sz w:val="19"/>
              </w:rPr>
              <w:t>Emissão inicial, junto com a Política de Controle Tecnológico R00</w:t>
            </w:r>
          </w:p>
        </w:tc>
      </w:tr>
    </w:tbl>
    <w:p w14:paraId="50AB6AB3" w14:textId="77777777" w:rsidR="00E436D0" w:rsidRDefault="00E436D0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E436D0" w14:paraId="49F17014" w14:textId="77777777">
        <w:trPr>
          <w:tblHeader/>
        </w:trPr>
        <w:tc>
          <w:tcPr>
            <w:tcW w:w="4677" w:type="dxa"/>
            <w:shd w:val="clear" w:color="auto" w:fill="F3F2ED"/>
          </w:tcPr>
          <w:p w14:paraId="5B292606" w14:textId="77777777" w:rsidR="00E436D0" w:rsidRDefault="00D46B25">
            <w:pPr>
              <w:spacing w:after="20" w:line="240" w:lineRule="auto"/>
            </w:pPr>
            <w:r>
              <w:rPr>
                <w:b/>
                <w:sz w:val="19"/>
              </w:rPr>
              <w:t>Elaboração</w:t>
            </w:r>
          </w:p>
        </w:tc>
        <w:tc>
          <w:tcPr>
            <w:tcW w:w="4677" w:type="dxa"/>
            <w:shd w:val="clear" w:color="auto" w:fill="F3F2ED"/>
          </w:tcPr>
          <w:p w14:paraId="54A49B94" w14:textId="77777777" w:rsidR="00E436D0" w:rsidRDefault="00D46B25">
            <w:pPr>
              <w:spacing w:after="20" w:line="240" w:lineRule="auto"/>
            </w:pPr>
            <w:r>
              <w:rPr>
                <w:b/>
                <w:sz w:val="19"/>
              </w:rPr>
              <w:t>Aprovação</w:t>
            </w:r>
          </w:p>
        </w:tc>
      </w:tr>
      <w:tr w:rsidR="00E436D0" w14:paraId="5AA88991" w14:textId="77777777">
        <w:tc>
          <w:tcPr>
            <w:tcW w:w="4677" w:type="dxa"/>
          </w:tcPr>
          <w:p w14:paraId="4E659E02" w14:textId="77777777" w:rsidR="00E436D0" w:rsidRDefault="00D46B25">
            <w:pPr>
              <w:spacing w:after="20" w:line="240" w:lineRule="auto"/>
            </w:pPr>
            <w:r>
              <w:rPr>
                <w:sz w:val="19"/>
              </w:rPr>
              <w:t>Coordenação de Pavimento e Controle Tecnológico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  <w:tc>
          <w:tcPr>
            <w:tcW w:w="4677" w:type="dxa"/>
          </w:tcPr>
          <w:p w14:paraId="2B6B9E66" w14:textId="77777777" w:rsidR="00E436D0" w:rsidRDefault="00D46B25">
            <w:pPr>
              <w:spacing w:after="20" w:line="240" w:lineRule="auto"/>
            </w:pPr>
            <w:r>
              <w:rPr>
                <w:sz w:val="19"/>
              </w:rPr>
              <w:t>Danillo Oliveira, Gerente de Engenharia e Qualidade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</w:tr>
    </w:tbl>
    <w:p w14:paraId="0EB269B4" w14:textId="77777777" w:rsidR="00E436D0" w:rsidRDefault="00E436D0">
      <w:pPr>
        <w:spacing w:after="40"/>
      </w:pPr>
    </w:p>
    <w:p w14:paraId="6D8DD2B0" w14:textId="77777777" w:rsidR="00E436D0" w:rsidRDefault="00E436D0"/>
    <w:p w14:paraId="74D8A1E5" w14:textId="77777777" w:rsidR="00E436D0" w:rsidRDefault="00D46B25">
      <w:pPr>
        <w:pStyle w:val="Ttulo1"/>
        <w:spacing w:before="280" w:after="120"/>
      </w:pPr>
      <w:r>
        <w:rPr>
          <w:rFonts w:ascii="Calibri" w:eastAsia="Calibri" w:hAnsi="Calibri" w:cs="Calibri"/>
        </w:rPr>
        <w:t>1. Objeto</w:t>
      </w:r>
    </w:p>
    <w:p w14:paraId="35C7C70D" w14:textId="77777777" w:rsidR="00E436D0" w:rsidRDefault="00D46B25">
      <w:pPr>
        <w:spacing w:after="120"/>
      </w:pPr>
      <w:r>
        <w:t>Este anexo detalha a seção 12 da Política de Controle Tecnológico de Obras: quando há divergência entre o laboratório da EXECUTORA e a verificação da Concessionária, como ela é apurada e como se decide.</w:t>
      </w:r>
    </w:p>
    <w:p w14:paraId="4C2C171D" w14:textId="77777777" w:rsidR="00E436D0" w:rsidRDefault="00D46B25">
      <w:pPr>
        <w:pStyle w:val="Ttulo1"/>
        <w:spacing w:before="280" w:after="120"/>
      </w:pPr>
      <w:r>
        <w:rPr>
          <w:rFonts w:ascii="Calibri" w:eastAsia="Calibri" w:hAnsi="Calibri" w:cs="Calibri"/>
        </w:rPr>
        <w:t>2. Limites de divergência</w:t>
      </w:r>
    </w:p>
    <w:p w14:paraId="527F81C2" w14:textId="77777777" w:rsidR="00E436D0" w:rsidRDefault="00D46B25">
      <w:pPr>
        <w:spacing w:after="120"/>
      </w:pPr>
      <w:r>
        <w:t>Há divergência quando dois resultados válidos, para o mesmo lote e a mesma propriedade, diferem em mais do que o limite de reprodutibilidade do método de ensaio. Quando a norma não traz esse limite, aplicam-se os valores abaixo. São valores iniciais da R00, a revisar após 6 meses de dados comparáveis.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1871"/>
        <w:gridCol w:w="2227"/>
      </w:tblGrid>
      <w:tr w:rsidR="00E436D0" w14:paraId="24F5FF58" w14:textId="77777777">
        <w:trPr>
          <w:tblHeader/>
        </w:trPr>
        <w:tc>
          <w:tcPr>
            <w:tcW w:w="5256" w:type="dxa"/>
            <w:shd w:val="clear" w:color="auto" w:fill="F3F2ED"/>
          </w:tcPr>
          <w:p w14:paraId="00A1E199" w14:textId="77777777" w:rsidR="00E436D0" w:rsidRDefault="00D46B25">
            <w:pPr>
              <w:spacing w:after="20" w:line="240" w:lineRule="auto"/>
            </w:pPr>
            <w:r>
              <w:rPr>
                <w:b/>
                <w:sz w:val="18"/>
              </w:rPr>
              <w:t>Propriedade</w:t>
            </w:r>
          </w:p>
        </w:tc>
        <w:tc>
          <w:tcPr>
            <w:tcW w:w="1871" w:type="dxa"/>
            <w:shd w:val="clear" w:color="auto" w:fill="F3F2ED"/>
          </w:tcPr>
          <w:p w14:paraId="5D585032" w14:textId="77777777" w:rsidR="00E436D0" w:rsidRDefault="00D46B25">
            <w:pPr>
              <w:spacing w:after="20" w:line="240" w:lineRule="auto"/>
            </w:pPr>
            <w:r>
              <w:rPr>
                <w:b/>
                <w:sz w:val="18"/>
              </w:rPr>
              <w:t>Limite de divergência</w:t>
            </w:r>
          </w:p>
        </w:tc>
        <w:tc>
          <w:tcPr>
            <w:tcW w:w="2227" w:type="dxa"/>
            <w:shd w:val="clear" w:color="auto" w:fill="F3F2ED"/>
          </w:tcPr>
          <w:p w14:paraId="20096F0D" w14:textId="77777777" w:rsidR="00E436D0" w:rsidRDefault="00D46B25">
            <w:pPr>
              <w:spacing w:after="20" w:line="240" w:lineRule="auto"/>
            </w:pPr>
            <w:r>
              <w:rPr>
                <w:b/>
                <w:sz w:val="18"/>
              </w:rPr>
              <w:t>Unidade</w:t>
            </w:r>
          </w:p>
        </w:tc>
      </w:tr>
      <w:tr w:rsidR="00E436D0" w14:paraId="6BCD4297" w14:textId="77777777">
        <w:tc>
          <w:tcPr>
            <w:tcW w:w="5256" w:type="dxa"/>
          </w:tcPr>
          <w:p w14:paraId="0C51A099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Teor de ligante</w:t>
            </w:r>
          </w:p>
        </w:tc>
        <w:tc>
          <w:tcPr>
            <w:tcW w:w="1871" w:type="dxa"/>
          </w:tcPr>
          <w:p w14:paraId="328AC7F4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0,3</w:t>
            </w:r>
          </w:p>
        </w:tc>
        <w:tc>
          <w:tcPr>
            <w:tcW w:w="2227" w:type="dxa"/>
          </w:tcPr>
          <w:p w14:paraId="1125A23A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ponto percentual</w:t>
            </w:r>
          </w:p>
        </w:tc>
      </w:tr>
      <w:tr w:rsidR="00E436D0" w14:paraId="547C20EB" w14:textId="77777777">
        <w:tc>
          <w:tcPr>
            <w:tcW w:w="5256" w:type="dxa"/>
          </w:tcPr>
          <w:p w14:paraId="3C808B8C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Granulometria da mistura, peneiras de 4,75 mm e maiores</w:t>
            </w:r>
          </w:p>
        </w:tc>
        <w:tc>
          <w:tcPr>
            <w:tcW w:w="1871" w:type="dxa"/>
          </w:tcPr>
          <w:p w14:paraId="2A765AE5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227" w:type="dxa"/>
          </w:tcPr>
          <w:p w14:paraId="1989BF49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ponto percentual passante</w:t>
            </w:r>
          </w:p>
        </w:tc>
      </w:tr>
      <w:tr w:rsidR="00E436D0" w14:paraId="3D29B3B4" w14:textId="77777777">
        <w:tc>
          <w:tcPr>
            <w:tcW w:w="5256" w:type="dxa"/>
          </w:tcPr>
          <w:p w14:paraId="3907C990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Granulometria da mistura, peneiras entre 0,075 mm e 2,36 mm</w:t>
            </w:r>
          </w:p>
        </w:tc>
        <w:tc>
          <w:tcPr>
            <w:tcW w:w="1871" w:type="dxa"/>
          </w:tcPr>
          <w:p w14:paraId="7ACC6C41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227" w:type="dxa"/>
          </w:tcPr>
          <w:p w14:paraId="0F61FCBE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ponto percentual passante</w:t>
            </w:r>
          </w:p>
        </w:tc>
      </w:tr>
      <w:tr w:rsidR="00E436D0" w14:paraId="00699796" w14:textId="77777777">
        <w:tc>
          <w:tcPr>
            <w:tcW w:w="5256" w:type="dxa"/>
          </w:tcPr>
          <w:p w14:paraId="03DFE074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Granulometria da mistura, peneira 0,075 mm</w:t>
            </w:r>
          </w:p>
        </w:tc>
        <w:tc>
          <w:tcPr>
            <w:tcW w:w="1871" w:type="dxa"/>
          </w:tcPr>
          <w:p w14:paraId="3EB2705F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1,5</w:t>
            </w:r>
          </w:p>
        </w:tc>
        <w:tc>
          <w:tcPr>
            <w:tcW w:w="2227" w:type="dxa"/>
          </w:tcPr>
          <w:p w14:paraId="5E8DC91F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ponto percentual passante</w:t>
            </w:r>
          </w:p>
        </w:tc>
      </w:tr>
      <w:tr w:rsidR="00E436D0" w14:paraId="286520E8" w14:textId="77777777">
        <w:tc>
          <w:tcPr>
            <w:tcW w:w="5256" w:type="dxa"/>
          </w:tcPr>
          <w:p w14:paraId="6DE9097D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Grau de compactação de mistura asfáltica</w:t>
            </w:r>
          </w:p>
        </w:tc>
        <w:tc>
          <w:tcPr>
            <w:tcW w:w="1871" w:type="dxa"/>
          </w:tcPr>
          <w:p w14:paraId="201E02DD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1,0</w:t>
            </w:r>
          </w:p>
        </w:tc>
        <w:tc>
          <w:tcPr>
            <w:tcW w:w="2227" w:type="dxa"/>
          </w:tcPr>
          <w:p w14:paraId="3A60A34A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ponto percentual</w:t>
            </w:r>
          </w:p>
        </w:tc>
      </w:tr>
      <w:tr w:rsidR="00E436D0" w14:paraId="1E589D28" w14:textId="77777777">
        <w:tc>
          <w:tcPr>
            <w:tcW w:w="5256" w:type="dxa"/>
          </w:tcPr>
          <w:p w14:paraId="4AAC21A6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Grau de compactação de solo ou camada granular</w:t>
            </w:r>
          </w:p>
        </w:tc>
        <w:tc>
          <w:tcPr>
            <w:tcW w:w="1871" w:type="dxa"/>
          </w:tcPr>
          <w:p w14:paraId="4893AE14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2,0</w:t>
            </w:r>
          </w:p>
        </w:tc>
        <w:tc>
          <w:tcPr>
            <w:tcW w:w="2227" w:type="dxa"/>
          </w:tcPr>
          <w:p w14:paraId="648A07C3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ponto percentual</w:t>
            </w:r>
          </w:p>
        </w:tc>
      </w:tr>
      <w:tr w:rsidR="00E436D0" w14:paraId="3C78282C" w14:textId="77777777">
        <w:tc>
          <w:tcPr>
            <w:tcW w:w="5256" w:type="dxa"/>
          </w:tcPr>
          <w:p w14:paraId="4891CECA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Umidade de solo</w:t>
            </w:r>
          </w:p>
        </w:tc>
        <w:tc>
          <w:tcPr>
            <w:tcW w:w="1871" w:type="dxa"/>
          </w:tcPr>
          <w:p w14:paraId="1CB6EB42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1,0</w:t>
            </w:r>
          </w:p>
        </w:tc>
        <w:tc>
          <w:tcPr>
            <w:tcW w:w="2227" w:type="dxa"/>
          </w:tcPr>
          <w:p w14:paraId="306C0E95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ponto percentual</w:t>
            </w:r>
          </w:p>
        </w:tc>
      </w:tr>
      <w:tr w:rsidR="00E436D0" w14:paraId="01C47646" w14:textId="77777777">
        <w:tc>
          <w:tcPr>
            <w:tcW w:w="5256" w:type="dxa"/>
          </w:tcPr>
          <w:p w14:paraId="68A9E2BE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Espessura de camada</w:t>
            </w:r>
          </w:p>
        </w:tc>
        <w:tc>
          <w:tcPr>
            <w:tcW w:w="1871" w:type="dxa"/>
          </w:tcPr>
          <w:p w14:paraId="586C8D28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227" w:type="dxa"/>
          </w:tcPr>
          <w:p w14:paraId="57701437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% da espessura de projeto</w:t>
            </w:r>
          </w:p>
        </w:tc>
      </w:tr>
      <w:tr w:rsidR="00E436D0" w14:paraId="4D1034B2" w14:textId="77777777">
        <w:tc>
          <w:tcPr>
            <w:tcW w:w="5256" w:type="dxa"/>
          </w:tcPr>
          <w:p w14:paraId="68FA0B4F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Resistência à compressão do concreto</w:t>
            </w:r>
          </w:p>
        </w:tc>
        <w:tc>
          <w:tcPr>
            <w:tcW w:w="1871" w:type="dxa"/>
          </w:tcPr>
          <w:p w14:paraId="5B90B229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227" w:type="dxa"/>
          </w:tcPr>
          <w:p w14:paraId="590FC548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% do menor resultado</w:t>
            </w:r>
          </w:p>
        </w:tc>
      </w:tr>
      <w:tr w:rsidR="00E436D0" w14:paraId="7CBEE568" w14:textId="77777777">
        <w:tc>
          <w:tcPr>
            <w:tcW w:w="5256" w:type="dxa"/>
          </w:tcPr>
          <w:p w14:paraId="01C26CD4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Abatimento do concreto</w:t>
            </w:r>
          </w:p>
        </w:tc>
        <w:tc>
          <w:tcPr>
            <w:tcW w:w="1871" w:type="dxa"/>
          </w:tcPr>
          <w:p w14:paraId="1AD5C487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2227" w:type="dxa"/>
          </w:tcPr>
          <w:p w14:paraId="15E13BC6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mm</w:t>
            </w:r>
          </w:p>
        </w:tc>
      </w:tr>
      <w:tr w:rsidR="00E436D0" w14:paraId="5F4F59C6" w14:textId="77777777">
        <w:tc>
          <w:tcPr>
            <w:tcW w:w="5256" w:type="dxa"/>
          </w:tcPr>
          <w:p w14:paraId="4273B5C0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Vazios da mistura asfáltica</w:t>
            </w:r>
          </w:p>
        </w:tc>
        <w:tc>
          <w:tcPr>
            <w:tcW w:w="1871" w:type="dxa"/>
          </w:tcPr>
          <w:p w14:paraId="6C106109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1,0</w:t>
            </w:r>
          </w:p>
        </w:tc>
        <w:tc>
          <w:tcPr>
            <w:tcW w:w="2227" w:type="dxa"/>
          </w:tcPr>
          <w:p w14:paraId="4B6791C0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ponto percentual</w:t>
            </w:r>
          </w:p>
        </w:tc>
      </w:tr>
      <w:tr w:rsidR="00E436D0" w14:paraId="6CD6BEEB" w14:textId="77777777">
        <w:tc>
          <w:tcPr>
            <w:tcW w:w="5256" w:type="dxa"/>
          </w:tcPr>
          <w:p w14:paraId="0233F7C5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Massa específica aparente (Gmb)</w:t>
            </w:r>
          </w:p>
        </w:tc>
        <w:tc>
          <w:tcPr>
            <w:tcW w:w="1871" w:type="dxa"/>
          </w:tcPr>
          <w:p w14:paraId="1EB4F731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0,020</w:t>
            </w:r>
          </w:p>
        </w:tc>
        <w:tc>
          <w:tcPr>
            <w:tcW w:w="2227" w:type="dxa"/>
          </w:tcPr>
          <w:p w14:paraId="1F7BD63E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g/cm³</w:t>
            </w:r>
          </w:p>
        </w:tc>
      </w:tr>
      <w:tr w:rsidR="00E436D0" w14:paraId="520F03FB" w14:textId="77777777">
        <w:tc>
          <w:tcPr>
            <w:tcW w:w="5256" w:type="dxa"/>
          </w:tcPr>
          <w:p w14:paraId="056738A2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Módulo de resiliência</w:t>
            </w:r>
          </w:p>
        </w:tc>
        <w:tc>
          <w:tcPr>
            <w:tcW w:w="1871" w:type="dxa"/>
          </w:tcPr>
          <w:p w14:paraId="63F44AAF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2227" w:type="dxa"/>
          </w:tcPr>
          <w:p w14:paraId="2DE1FF61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% do menor resultado</w:t>
            </w:r>
          </w:p>
        </w:tc>
      </w:tr>
      <w:tr w:rsidR="00E436D0" w14:paraId="1CF2C2B2" w14:textId="77777777">
        <w:tc>
          <w:tcPr>
            <w:tcW w:w="5256" w:type="dxa"/>
          </w:tcPr>
          <w:p w14:paraId="25188290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ISC</w:t>
            </w:r>
          </w:p>
        </w:tc>
        <w:tc>
          <w:tcPr>
            <w:tcW w:w="1871" w:type="dxa"/>
          </w:tcPr>
          <w:p w14:paraId="385581A4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2227" w:type="dxa"/>
          </w:tcPr>
          <w:p w14:paraId="435B3450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% do menor resultado</w:t>
            </w:r>
          </w:p>
        </w:tc>
      </w:tr>
      <w:tr w:rsidR="00E436D0" w14:paraId="156954AB" w14:textId="77777777">
        <w:tc>
          <w:tcPr>
            <w:tcW w:w="5256" w:type="dxa"/>
          </w:tcPr>
          <w:p w14:paraId="2823F424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Penetração do ligante</w:t>
            </w:r>
          </w:p>
        </w:tc>
        <w:tc>
          <w:tcPr>
            <w:tcW w:w="1871" w:type="dxa"/>
          </w:tcPr>
          <w:p w14:paraId="0659DBE1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227" w:type="dxa"/>
          </w:tcPr>
          <w:p w14:paraId="4054EF33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0,1 mm</w:t>
            </w:r>
          </w:p>
        </w:tc>
      </w:tr>
      <w:tr w:rsidR="00E436D0" w14:paraId="497192AD" w14:textId="77777777">
        <w:tc>
          <w:tcPr>
            <w:tcW w:w="5256" w:type="dxa"/>
          </w:tcPr>
          <w:p w14:paraId="04E1CF22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Ponto de amolecimento</w:t>
            </w:r>
          </w:p>
        </w:tc>
        <w:tc>
          <w:tcPr>
            <w:tcW w:w="1871" w:type="dxa"/>
          </w:tcPr>
          <w:p w14:paraId="65D408DE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227" w:type="dxa"/>
          </w:tcPr>
          <w:p w14:paraId="12650B5C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°C</w:t>
            </w:r>
          </w:p>
        </w:tc>
      </w:tr>
    </w:tbl>
    <w:p w14:paraId="2514D0EA" w14:textId="77777777" w:rsidR="00E436D0" w:rsidRDefault="00E436D0">
      <w:pPr>
        <w:spacing w:after="40"/>
      </w:pPr>
    </w:p>
    <w:p w14:paraId="2A9F6139" w14:textId="77777777" w:rsidR="00E436D0" w:rsidRDefault="00D46B25">
      <w:pPr>
        <w:spacing w:after="120"/>
      </w:pPr>
      <w:r>
        <w:t>Resultado da EXECUTORA e da Concessionária só são comparáveis quando se referem ao mesmo lote, à mesma camada ou elemento e a condições de ensaio equivalentes (idade, energia, temperatura, método e edição).</w:t>
      </w:r>
    </w:p>
    <w:p w14:paraId="3F6194BC" w14:textId="77777777" w:rsidR="00E436D0" w:rsidRDefault="00D46B25">
      <w:pPr>
        <w:pStyle w:val="Ttulo1"/>
        <w:spacing w:before="280" w:after="120"/>
      </w:pPr>
      <w:r>
        <w:rPr>
          <w:rFonts w:ascii="Calibri" w:eastAsia="Calibri" w:hAnsi="Calibri" w:cs="Calibri"/>
        </w:rPr>
        <w:t>3. Sequência de apuração e decisão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036"/>
        <w:gridCol w:w="2908"/>
        <w:gridCol w:w="2133"/>
        <w:gridCol w:w="2278"/>
      </w:tblGrid>
      <w:tr w:rsidR="00E436D0" w14:paraId="3A3AA29D" w14:textId="77777777">
        <w:trPr>
          <w:tblHeader/>
        </w:trPr>
        <w:tc>
          <w:tcPr>
            <w:tcW w:w="2036" w:type="dxa"/>
            <w:shd w:val="clear" w:color="auto" w:fill="F3F2ED"/>
          </w:tcPr>
          <w:p w14:paraId="1D93BFA6" w14:textId="77777777" w:rsidR="00E436D0" w:rsidRDefault="00D46B25">
            <w:pPr>
              <w:spacing w:after="20" w:line="240" w:lineRule="auto"/>
            </w:pPr>
            <w:r>
              <w:rPr>
                <w:b/>
                <w:sz w:val="18"/>
              </w:rPr>
              <w:t>Passo</w:t>
            </w:r>
          </w:p>
        </w:tc>
        <w:tc>
          <w:tcPr>
            <w:tcW w:w="2908" w:type="dxa"/>
            <w:shd w:val="clear" w:color="auto" w:fill="F3F2ED"/>
          </w:tcPr>
          <w:p w14:paraId="482C047E" w14:textId="77777777" w:rsidR="00E436D0" w:rsidRDefault="00D46B25">
            <w:pPr>
              <w:spacing w:after="20" w:line="240" w:lineRule="auto"/>
            </w:pPr>
            <w:r>
              <w:rPr>
                <w:b/>
                <w:sz w:val="18"/>
              </w:rPr>
              <w:t>Ação</w:t>
            </w:r>
          </w:p>
        </w:tc>
        <w:tc>
          <w:tcPr>
            <w:tcW w:w="2133" w:type="dxa"/>
            <w:shd w:val="clear" w:color="auto" w:fill="F3F2ED"/>
          </w:tcPr>
          <w:p w14:paraId="5BB530A9" w14:textId="77777777" w:rsidR="00E436D0" w:rsidRDefault="00D46B25">
            <w:pPr>
              <w:spacing w:after="20" w:line="240" w:lineRule="auto"/>
            </w:pPr>
            <w:r>
              <w:rPr>
                <w:b/>
                <w:sz w:val="18"/>
              </w:rPr>
              <w:t>Prazo</w:t>
            </w:r>
          </w:p>
        </w:tc>
        <w:tc>
          <w:tcPr>
            <w:tcW w:w="2278" w:type="dxa"/>
            <w:shd w:val="clear" w:color="auto" w:fill="F3F2ED"/>
          </w:tcPr>
          <w:p w14:paraId="5118A9E5" w14:textId="77777777" w:rsidR="00E436D0" w:rsidRDefault="00D46B25">
            <w:pPr>
              <w:spacing w:after="20" w:line="240" w:lineRule="auto"/>
            </w:pPr>
            <w:r>
              <w:rPr>
                <w:b/>
                <w:sz w:val="18"/>
              </w:rPr>
              <w:t>Responsável</w:t>
            </w:r>
          </w:p>
        </w:tc>
      </w:tr>
      <w:tr w:rsidR="00E436D0" w14:paraId="4620671A" w14:textId="77777777">
        <w:tc>
          <w:tcPr>
            <w:tcW w:w="2036" w:type="dxa"/>
          </w:tcPr>
          <w:p w14:paraId="767D3481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1. Preservação</w:t>
            </w:r>
          </w:p>
        </w:tc>
        <w:tc>
          <w:tcPr>
            <w:tcW w:w="2908" w:type="dxa"/>
          </w:tcPr>
          <w:p w14:paraId="3C54200A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Registrar os dois resultados no banco de dados, com origem, laboratório, amostra, método e estado</w:t>
            </w:r>
          </w:p>
        </w:tc>
        <w:tc>
          <w:tcPr>
            <w:tcW w:w="2133" w:type="dxa"/>
          </w:tcPr>
          <w:p w14:paraId="025DFE1F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Imediato</w:t>
            </w:r>
          </w:p>
        </w:tc>
        <w:tc>
          <w:tcPr>
            <w:tcW w:w="2278" w:type="dxa"/>
          </w:tcPr>
          <w:p w14:paraId="6AEAA09C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Laboratório contratado</w:t>
            </w:r>
          </w:p>
        </w:tc>
      </w:tr>
      <w:tr w:rsidR="00E436D0" w14:paraId="49D022D8" w14:textId="77777777">
        <w:tc>
          <w:tcPr>
            <w:tcW w:w="2036" w:type="dxa"/>
          </w:tcPr>
          <w:p w14:paraId="64202689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2. Validade</w:t>
            </w:r>
          </w:p>
        </w:tc>
        <w:tc>
          <w:tcPr>
            <w:tcW w:w="2908" w:type="dxa"/>
          </w:tcPr>
          <w:p w14:paraId="40734AA8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Conferir identificação do lote, representatividade, coleta, cadeia de custódia, método e edição, condições, calibração, idade ou condicionamento, para as duas fontes</w:t>
            </w:r>
          </w:p>
        </w:tc>
        <w:tc>
          <w:tcPr>
            <w:tcW w:w="2133" w:type="dxa"/>
          </w:tcPr>
          <w:p w14:paraId="2203F6A9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2 dias úteis</w:t>
            </w:r>
          </w:p>
        </w:tc>
        <w:tc>
          <w:tcPr>
            <w:tcW w:w="2278" w:type="dxa"/>
          </w:tcPr>
          <w:p w14:paraId="0D1A6CE4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Coordenação de Pavimento e Controle Tecnológico</w:t>
            </w:r>
          </w:p>
        </w:tc>
      </w:tr>
      <w:tr w:rsidR="00E436D0" w14:paraId="72E3628C" w14:textId="77777777">
        <w:tc>
          <w:tcPr>
            <w:tcW w:w="2036" w:type="dxa"/>
          </w:tcPr>
          <w:p w14:paraId="50D5A544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3. Contraprova</w:t>
            </w:r>
          </w:p>
        </w:tc>
        <w:tc>
          <w:tcPr>
            <w:tcW w:w="2908" w:type="dxa"/>
          </w:tcPr>
          <w:p w14:paraId="2F31F1A7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Ensaiar a contraprova em laboratório indicado pela Concessionária, distinto dos dois primeiros quando possível, com testemunho das duas partes</w:t>
            </w:r>
          </w:p>
        </w:tc>
        <w:tc>
          <w:tcPr>
            <w:tcW w:w="2133" w:type="dxa"/>
          </w:tcPr>
          <w:p w14:paraId="2A10663E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Conforme idade ou condicionamento do método</w:t>
            </w:r>
          </w:p>
        </w:tc>
        <w:tc>
          <w:tcPr>
            <w:tcW w:w="2278" w:type="dxa"/>
          </w:tcPr>
          <w:p w14:paraId="522F1271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Laboratório indicado</w:t>
            </w:r>
          </w:p>
        </w:tc>
      </w:tr>
      <w:tr w:rsidR="00E436D0" w14:paraId="047011BC" w14:textId="77777777">
        <w:tc>
          <w:tcPr>
            <w:tcW w:w="2036" w:type="dxa"/>
          </w:tcPr>
          <w:p w14:paraId="18488B79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4. Nova amostragem</w:t>
            </w:r>
          </w:p>
        </w:tc>
        <w:tc>
          <w:tcPr>
            <w:tcW w:w="2908" w:type="dxa"/>
          </w:tcPr>
          <w:p w14:paraId="321B691D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Sem contraprova e com o lote acessível, coletar nova amostra testemunhada pelas duas partes e ensaiar no laboratório indicado</w:t>
            </w:r>
          </w:p>
        </w:tc>
        <w:tc>
          <w:tcPr>
            <w:tcW w:w="2133" w:type="dxa"/>
          </w:tcPr>
          <w:p w14:paraId="609C544D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5 dias úteis da conclusão do passo 2</w:t>
            </w:r>
          </w:p>
        </w:tc>
        <w:tc>
          <w:tcPr>
            <w:tcW w:w="2278" w:type="dxa"/>
          </w:tcPr>
          <w:p w14:paraId="685AF4D9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Laboratório indicado, com Fiscalização</w:t>
            </w:r>
          </w:p>
        </w:tc>
      </w:tr>
      <w:tr w:rsidR="00E436D0" w14:paraId="103A264F" w14:textId="77777777">
        <w:tc>
          <w:tcPr>
            <w:tcW w:w="2036" w:type="dxa"/>
          </w:tcPr>
          <w:p w14:paraId="5A651829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5. Decisão sem contraprova nem nova coleta</w:t>
            </w:r>
          </w:p>
        </w:tc>
        <w:tc>
          <w:tcPr>
            <w:tcW w:w="2908" w:type="dxa"/>
          </w:tcPr>
          <w:p w14:paraId="735CC5F1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Usar o resultado válido da verificação independente da Concessionária; a EXECUTORA pode pedir investigação técnica</w:t>
            </w:r>
          </w:p>
        </w:tc>
        <w:tc>
          <w:tcPr>
            <w:tcW w:w="2133" w:type="dxa"/>
          </w:tcPr>
          <w:p w14:paraId="4922A1B7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5 dias úteis</w:t>
            </w:r>
          </w:p>
        </w:tc>
        <w:tc>
          <w:tcPr>
            <w:tcW w:w="2278" w:type="dxa"/>
          </w:tcPr>
          <w:p w14:paraId="50A2CA5D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Gerência de Engenharia e Qualidade</w:t>
            </w:r>
          </w:p>
        </w:tc>
      </w:tr>
      <w:tr w:rsidR="00E436D0" w14:paraId="4DA349C6" w14:textId="77777777">
        <w:tc>
          <w:tcPr>
            <w:tcW w:w="2036" w:type="dxa"/>
          </w:tcPr>
          <w:p w14:paraId="21DC53FB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6. Decisão</w:t>
            </w:r>
          </w:p>
        </w:tc>
        <w:tc>
          <w:tcPr>
            <w:tcW w:w="2908" w:type="dxa"/>
          </w:tcPr>
          <w:p w14:paraId="1C8E8F44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Registrar a decisão por escrito, com os resultados confrontados e o fundamento</w:t>
            </w:r>
          </w:p>
        </w:tc>
        <w:tc>
          <w:tcPr>
            <w:tcW w:w="2133" w:type="dxa"/>
          </w:tcPr>
          <w:p w14:paraId="241AD755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5 dias úteis da conclusão do ensaio decisivo</w:t>
            </w:r>
          </w:p>
        </w:tc>
        <w:tc>
          <w:tcPr>
            <w:tcW w:w="2278" w:type="dxa"/>
          </w:tcPr>
          <w:p w14:paraId="34C39120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Gerência de Engenharia e Qualidade</w:t>
            </w:r>
          </w:p>
        </w:tc>
      </w:tr>
    </w:tbl>
    <w:p w14:paraId="0C51FFE8" w14:textId="77777777" w:rsidR="00E436D0" w:rsidRDefault="00E436D0">
      <w:pPr>
        <w:spacing w:after="40"/>
      </w:pPr>
    </w:p>
    <w:p w14:paraId="40D32BFE" w14:textId="77777777" w:rsidR="00E436D0" w:rsidRDefault="00D46B25">
      <w:pPr>
        <w:spacing w:after="120"/>
      </w:pPr>
      <w:r>
        <w:t>Regras fixas: não há escolha do resultado mais favorável; não há média entre laboratórios; o resultado da contraprova testemunhada define a propriedade do lote; resultado inválido no passo 2 não entra na decisão; o resultado anterior permanece no histórico.</w:t>
      </w:r>
    </w:p>
    <w:p w14:paraId="004B7868" w14:textId="77777777" w:rsidR="00E436D0" w:rsidRDefault="00D46B25">
      <w:pPr>
        <w:pStyle w:val="Ttulo1"/>
        <w:spacing w:before="280" w:after="120"/>
      </w:pPr>
      <w:r>
        <w:rPr>
          <w:rFonts w:ascii="Calibri" w:eastAsia="Calibri" w:hAnsi="Calibri" w:cs="Calibri"/>
        </w:rPr>
        <w:t>4. Divergência sistemática</w:t>
      </w:r>
    </w:p>
    <w:p w14:paraId="6A56EC0B" w14:textId="77777777" w:rsidR="00E436D0" w:rsidRDefault="00D46B25">
      <w:pPr>
        <w:spacing w:after="120"/>
      </w:pPr>
      <w:r>
        <w:t>Três ou mais divergências no mesmo trimestre, na mesma propriedade e no mesmo laboratório, caracterizam divergência sistemática. A Concessionária então: realiza diligência extraordinária no laboratório da EXECUTORA (equipamentos, calibração, procedimentos, pessoal e registros); eleva a verificação independente da frente a 100% por 30 dias; e pode exigir a troca do laboratório ou do responsável técnico da EXECUTORA, conforme o contrato de obra.</w:t>
      </w:r>
    </w:p>
    <w:p w14:paraId="23AA6007" w14:textId="77777777" w:rsidR="00E436D0" w:rsidRDefault="00D46B25">
      <w:pPr>
        <w:pStyle w:val="Ttulo1"/>
        <w:spacing w:before="280" w:after="120"/>
      </w:pPr>
      <w:r>
        <w:rPr>
          <w:rFonts w:ascii="Calibri" w:eastAsia="Calibri" w:hAnsi="Calibri" w:cs="Calibri"/>
        </w:rPr>
        <w:lastRenderedPageBreak/>
        <w:t>5. Custos</w:t>
      </w:r>
    </w:p>
    <w:p w14:paraId="5A32C256" w14:textId="77777777" w:rsidR="00E436D0" w:rsidRDefault="00D46B25">
      <w:pPr>
        <w:spacing w:after="120"/>
      </w:pPr>
      <w:r>
        <w:t>A contraprova e a nova coleta são pagas pela Concessionária ao laboratório contratado pelos itens contratuais. Quando o resultado confirmar a não conformidade, o custo é glosado da EXECUTORA conforme o contrato de obra. Resultado que confirme a conformidade não gera custo à EXECUTORA.</w:t>
      </w:r>
    </w:p>
    <w:p w14:paraId="68563641" w14:textId="77777777" w:rsidR="00E436D0" w:rsidRDefault="00D46B25">
      <w:pPr>
        <w:pStyle w:val="Ttulo1"/>
        <w:spacing w:before="280" w:after="120"/>
      </w:pPr>
      <w:r>
        <w:rPr>
          <w:rFonts w:ascii="Calibri" w:eastAsia="Calibri" w:hAnsi="Calibri" w:cs="Calibri"/>
        </w:rPr>
        <w:t>6. Ata de contraprova ou de nova coleta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2"/>
      </w:tblGrid>
      <w:tr w:rsidR="00E436D0" w14:paraId="78EC44C7" w14:textId="77777777">
        <w:trPr>
          <w:tblHeader/>
        </w:trPr>
        <w:tc>
          <w:tcPr>
            <w:tcW w:w="2592" w:type="dxa"/>
            <w:shd w:val="clear" w:color="auto" w:fill="F3F2ED"/>
          </w:tcPr>
          <w:p w14:paraId="4E6C53B9" w14:textId="77777777" w:rsidR="00E436D0" w:rsidRDefault="00D46B25">
            <w:pPr>
              <w:spacing w:after="20" w:line="240" w:lineRule="auto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6762" w:type="dxa"/>
            <w:shd w:val="clear" w:color="auto" w:fill="F3F2ED"/>
          </w:tcPr>
          <w:p w14:paraId="2CD4C091" w14:textId="77777777" w:rsidR="00E436D0" w:rsidRDefault="00D46B25">
            <w:pPr>
              <w:spacing w:after="20" w:line="240" w:lineRule="auto"/>
            </w:pPr>
            <w:r>
              <w:rPr>
                <w:b/>
                <w:sz w:val="18"/>
              </w:rPr>
              <w:t>Conteúdo</w:t>
            </w:r>
          </w:p>
        </w:tc>
      </w:tr>
      <w:tr w:rsidR="00E436D0" w14:paraId="79043798" w14:textId="77777777">
        <w:tc>
          <w:tcPr>
            <w:tcW w:w="2592" w:type="dxa"/>
          </w:tcPr>
          <w:p w14:paraId="1B1778C9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Identificação</w:t>
            </w:r>
          </w:p>
        </w:tc>
        <w:tc>
          <w:tcPr>
            <w:tcW w:w="6762" w:type="dxa"/>
          </w:tcPr>
          <w:p w14:paraId="6E817F79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Número do RNC ou da divergência; obra; OS; lote; propriedade</w:t>
            </w:r>
          </w:p>
        </w:tc>
      </w:tr>
      <w:tr w:rsidR="00E436D0" w14:paraId="7DB09C59" w14:textId="77777777">
        <w:tc>
          <w:tcPr>
            <w:tcW w:w="2592" w:type="dxa"/>
          </w:tcPr>
          <w:p w14:paraId="31D5BF20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Resultados em confronto</w:t>
            </w:r>
          </w:p>
        </w:tc>
        <w:tc>
          <w:tcPr>
            <w:tcW w:w="6762" w:type="dxa"/>
          </w:tcPr>
          <w:p w14:paraId="701200AB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Identificador das amostras, laboratório, método, data, resultado e condição de cada fonte</w:t>
            </w:r>
          </w:p>
        </w:tc>
      </w:tr>
      <w:tr w:rsidR="00E436D0" w14:paraId="7E0D4E33" w14:textId="77777777">
        <w:tc>
          <w:tcPr>
            <w:tcW w:w="2592" w:type="dxa"/>
          </w:tcPr>
          <w:p w14:paraId="7B6B08D3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Validade</w:t>
            </w:r>
          </w:p>
        </w:tc>
        <w:tc>
          <w:tcPr>
            <w:tcW w:w="6762" w:type="dxa"/>
          </w:tcPr>
          <w:p w14:paraId="543E88A7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Conclusão do passo 2 para cada resultado, com motivo em caso de invalidade</w:t>
            </w:r>
          </w:p>
        </w:tc>
      </w:tr>
      <w:tr w:rsidR="00E436D0" w14:paraId="02E8C54B" w14:textId="77777777">
        <w:tc>
          <w:tcPr>
            <w:tcW w:w="2592" w:type="dxa"/>
          </w:tcPr>
          <w:p w14:paraId="5F7DEB11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Amostra decisiva</w:t>
            </w:r>
          </w:p>
        </w:tc>
        <w:tc>
          <w:tcPr>
            <w:tcW w:w="6762" w:type="dxa"/>
          </w:tcPr>
          <w:p w14:paraId="7CAFE4C8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Identificador da contraprova ou da nova amostra; lacre; fotografia; local (km do PER e km do SNV 202607A, coordenadas SIRGAS 2000)</w:t>
            </w:r>
          </w:p>
        </w:tc>
      </w:tr>
      <w:tr w:rsidR="00E436D0" w14:paraId="7D8A6233" w14:textId="77777777">
        <w:tc>
          <w:tcPr>
            <w:tcW w:w="2592" w:type="dxa"/>
          </w:tcPr>
          <w:p w14:paraId="36E592CE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Presentes</w:t>
            </w:r>
          </w:p>
        </w:tc>
        <w:tc>
          <w:tcPr>
            <w:tcW w:w="6762" w:type="dxa"/>
          </w:tcPr>
          <w:p w14:paraId="203DCA66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Nome, empresa e assinatura dos representantes das duas partes e do laboratório; registro de ausência ou recusa</w:t>
            </w:r>
          </w:p>
        </w:tc>
      </w:tr>
      <w:tr w:rsidR="00E436D0" w14:paraId="4F718E10" w14:textId="77777777">
        <w:tc>
          <w:tcPr>
            <w:tcW w:w="2592" w:type="dxa"/>
          </w:tcPr>
          <w:p w14:paraId="40E632BE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Laboratório indicado</w:t>
            </w:r>
          </w:p>
        </w:tc>
        <w:tc>
          <w:tcPr>
            <w:tcW w:w="6762" w:type="dxa"/>
          </w:tcPr>
          <w:p w14:paraId="5A35725F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Nome, responsável técnico, método, calibração</w:t>
            </w:r>
          </w:p>
        </w:tc>
      </w:tr>
      <w:tr w:rsidR="00E436D0" w14:paraId="6D666276" w14:textId="77777777">
        <w:tc>
          <w:tcPr>
            <w:tcW w:w="2592" w:type="dxa"/>
          </w:tcPr>
          <w:p w14:paraId="5263D6B3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Resultado e decisão</w:t>
            </w:r>
          </w:p>
        </w:tc>
        <w:tc>
          <w:tcPr>
            <w:tcW w:w="6762" w:type="dxa"/>
          </w:tcPr>
          <w:p w14:paraId="5B307787" w14:textId="77777777" w:rsidR="00E436D0" w:rsidRDefault="00D46B25">
            <w:pPr>
              <w:spacing w:after="20" w:line="240" w:lineRule="auto"/>
            </w:pPr>
            <w:r>
              <w:rPr>
                <w:sz w:val="18"/>
              </w:rPr>
              <w:t>Resultado decisivo; decisão da Gerência; data; fundamento</w:t>
            </w:r>
          </w:p>
        </w:tc>
      </w:tr>
    </w:tbl>
    <w:p w14:paraId="0BDC42B4" w14:textId="77777777" w:rsidR="00E436D0" w:rsidRDefault="00E436D0">
      <w:pPr>
        <w:spacing w:after="40"/>
      </w:pPr>
    </w:p>
    <w:sectPr w:rsidR="00E436D0" w:rsidSect="00034616">
      <w:headerReference w:type="default" r:id="rId8"/>
      <w:footerReference w:type="default" r:id="rId9"/>
      <w:pgSz w:w="11906" w:h="16838"/>
      <w:pgMar w:top="2381" w:right="1134" w:bottom="1814" w:left="1417" w:header="79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5EC5B" w14:textId="77777777" w:rsidR="00D46B25" w:rsidRDefault="00D46B25">
      <w:pPr>
        <w:spacing w:after="0" w:line="240" w:lineRule="auto"/>
      </w:pPr>
      <w:r>
        <w:separator/>
      </w:r>
    </w:p>
  </w:endnote>
  <w:endnote w:type="continuationSeparator" w:id="0">
    <w:p w14:paraId="4B8028DF" w14:textId="77777777" w:rsidR="00D46B25" w:rsidRDefault="00D46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7937"/>
      <w:gridCol w:w="1417"/>
    </w:tblGrid>
    <w:tr w:rsidR="00E436D0" w14:paraId="25B0E07C" w14:textId="77777777">
      <w:tc>
        <w:tcPr>
          <w:tcW w:w="7937" w:type="dxa"/>
          <w:tcBorders>
            <w:bottom w:val="single" w:sz="12" w:space="0" w:color="F5BA00"/>
          </w:tcBorders>
        </w:tcPr>
        <w:p w14:paraId="3CABB996" w14:textId="77777777" w:rsidR="00E436D0" w:rsidRDefault="00E436D0">
          <w:pPr>
            <w:spacing w:after="0" w:line="40" w:lineRule="exact"/>
          </w:pPr>
        </w:p>
      </w:tc>
      <w:tc>
        <w:tcPr>
          <w:tcW w:w="1417" w:type="dxa"/>
          <w:tcBorders>
            <w:bottom w:val="single" w:sz="12" w:space="0" w:color="064B63"/>
          </w:tcBorders>
        </w:tcPr>
        <w:p w14:paraId="22FB81D7" w14:textId="77777777" w:rsidR="00E436D0" w:rsidRDefault="00E436D0">
          <w:pPr>
            <w:spacing w:after="0" w:line="40" w:lineRule="exact"/>
          </w:pPr>
        </w:p>
      </w:tc>
    </w:tr>
  </w:tbl>
  <w:p w14:paraId="0DA0C48D" w14:textId="77777777" w:rsidR="00E436D0" w:rsidRDefault="00D46B25">
    <w:pPr>
      <w:spacing w:after="0"/>
    </w:pPr>
    <w:r>
      <w:rPr>
        <w:color w:val="617177"/>
        <w:sz w:val="15"/>
      </w:rPr>
      <w:t>Concessionária 116 Sertões S.A. · CNPJ 68.576.407/0001-03 · Concessão Rota dos Sertões · BR-116/PE/BA e BR-324/BA</w:t>
    </w:r>
  </w:p>
  <w:p w14:paraId="6BA0FDFB" w14:textId="77777777" w:rsidR="00E436D0" w:rsidRDefault="00D46B25">
    <w:pPr>
      <w:spacing w:after="0"/>
    </w:pPr>
    <w:r>
      <w:rPr>
        <w:color w:val="617177"/>
        <w:sz w:val="15"/>
      </w:rPr>
      <w:t>Alameda Salvador, 1057 · Torre América, sala 1115 · Salvador/BA</w:t>
    </w:r>
  </w:p>
  <w:p w14:paraId="1A3C7F32" w14:textId="77777777" w:rsidR="00E436D0" w:rsidRDefault="00D46B25">
    <w:pPr>
      <w:spacing w:after="0"/>
      <w:jc w:val="right"/>
    </w:pPr>
    <w:r>
      <w:rPr>
        <w:color w:val="617177"/>
        <w:sz w:val="15"/>
      </w:rPr>
      <w:fldChar w:fldCharType="begin"/>
    </w:r>
    <w:r>
      <w:rPr>
        <w:color w:val="617177"/>
        <w:sz w:val="15"/>
      </w:rPr>
      <w:instrText>PAGE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  <w:r>
      <w:rPr>
        <w:color w:val="617177"/>
        <w:sz w:val="15"/>
      </w:rPr>
      <w:t xml:space="preserve"> de </w:t>
    </w:r>
    <w:r>
      <w:rPr>
        <w:color w:val="617177"/>
        <w:sz w:val="15"/>
      </w:rPr>
      <w:fldChar w:fldCharType="begin"/>
    </w:r>
    <w:r>
      <w:rPr>
        <w:color w:val="617177"/>
        <w:sz w:val="15"/>
      </w:rPr>
      <w:instrText>NUMPAGES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E7124" w14:textId="77777777" w:rsidR="00D46B25" w:rsidRDefault="00D46B25">
      <w:pPr>
        <w:spacing w:after="0" w:line="240" w:lineRule="auto"/>
      </w:pPr>
      <w:r>
        <w:separator/>
      </w:r>
    </w:p>
  </w:footnote>
  <w:footnote w:type="continuationSeparator" w:id="0">
    <w:p w14:paraId="475009DA" w14:textId="77777777" w:rsidR="00D46B25" w:rsidRDefault="00D46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F5FD7" w14:textId="77777777" w:rsidR="00E436D0" w:rsidRDefault="00D46B25">
    <w:r>
      <w:rPr>
        <w:noProof/>
      </w:rPr>
      <w:drawing>
        <wp:inline distT="0" distB="0" distL="0" distR="0" wp14:anchorId="3B9A89F6" wp14:editId="32AB6761">
          <wp:extent cx="1872000" cy="501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c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50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961421">
    <w:abstractNumId w:val="8"/>
  </w:num>
  <w:num w:numId="2" w16cid:durableId="1266186668">
    <w:abstractNumId w:val="6"/>
  </w:num>
  <w:num w:numId="3" w16cid:durableId="799029210">
    <w:abstractNumId w:val="5"/>
  </w:num>
  <w:num w:numId="4" w16cid:durableId="1500392575">
    <w:abstractNumId w:val="4"/>
  </w:num>
  <w:num w:numId="5" w16cid:durableId="237910814">
    <w:abstractNumId w:val="7"/>
  </w:num>
  <w:num w:numId="6" w16cid:durableId="576794333">
    <w:abstractNumId w:val="3"/>
  </w:num>
  <w:num w:numId="7" w16cid:durableId="2032024954">
    <w:abstractNumId w:val="2"/>
  </w:num>
  <w:num w:numId="8" w16cid:durableId="396635079">
    <w:abstractNumId w:val="1"/>
  </w:num>
  <w:num w:numId="9" w16cid:durableId="73682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1771"/>
    <w:rsid w:val="00AA1D8D"/>
    <w:rsid w:val="00B47730"/>
    <w:rsid w:val="00CB0664"/>
    <w:rsid w:val="00CF2102"/>
    <w:rsid w:val="00D46B25"/>
    <w:rsid w:val="00E436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C70841"/>
  <w14:defaultImageDpi w14:val="300"/>
  <w15:docId w15:val="{4699A6F5-2AD1-4677-9F87-79072E26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eastAsia="Calibri" w:hAnsi="Calibri" w:cs="Calibri"/>
      <w:color w:val="064B6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763</Words>
  <Characters>4335</Characters>
  <Application>Microsoft Office Word</Application>
  <DocSecurity>0</DocSecurity>
  <Lines>177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Divergência entre laboratórios R00</dc:title>
  <dc:subject>Política de Controle Tecnológico de Obras</dc:subject>
  <dc:creator>Concessionária 116 Sertões S.A.</dc:creator>
  <cp:keywords>POL-CT-116-A3; R00; PR; controle tecnológico; Rota dos Sertões</cp:keywords>
  <dc:description>generated by python-docx</dc:description>
  <cp:lastModifiedBy>Danillo Oliveira</cp:lastModifiedBy>
  <cp:revision>2</cp:revision>
  <dcterms:created xsi:type="dcterms:W3CDTF">2013-12-23T23:15:00Z</dcterms:created>
  <dcterms:modified xsi:type="dcterms:W3CDTF">2026-10-18T15:48:00Z</dcterms:modified>
  <cp:category/>
  <cp:version>R00</cp:version>
</cp:coreProperties>
</file>