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484E" w14:textId="77777777" w:rsidR="000645F5" w:rsidRDefault="00B31CC0">
      <w:r>
        <w:rPr>
          <w:b/>
          <w:color w:val="617177"/>
        </w:rPr>
        <w:t>ANEXO 6 DA POLÍTICA DE CONTROLE TECNOLÓGICO DE OBRAS</w:t>
      </w:r>
    </w:p>
    <w:p w14:paraId="0A9DC343" w14:textId="77777777" w:rsidR="000645F5" w:rsidRDefault="00B31CC0">
      <w:pPr>
        <w:spacing w:before="80"/>
      </w:pPr>
      <w:r>
        <w:rPr>
          <w:b/>
          <w:sz w:val="36"/>
        </w:rPr>
        <w:t>Parâmetros de controle e aceitação por material</w:t>
      </w:r>
    </w:p>
    <w:p w14:paraId="61589C88" w14:textId="77777777" w:rsidR="000645F5" w:rsidRDefault="00B31CC0">
      <w:pPr>
        <w:spacing w:before="160"/>
      </w:pPr>
      <w:r>
        <w:rPr>
          <w:color w:val="617177"/>
          <w:sz w:val="21"/>
        </w:rPr>
        <w:t>Código POL-CT-116-A6 · Revisão R00 · 18/10/2026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0645F5" w14:paraId="61DA21DB" w14:textId="77777777">
        <w:trPr>
          <w:tblHeader/>
        </w:trPr>
        <w:tc>
          <w:tcPr>
            <w:tcW w:w="1559" w:type="dxa"/>
            <w:shd w:val="clear" w:color="auto" w:fill="F3F2ED"/>
          </w:tcPr>
          <w:p w14:paraId="1F79FA48" w14:textId="77777777" w:rsidR="000645F5" w:rsidRDefault="00B31CC0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25834CB6" w14:textId="77777777" w:rsidR="000645F5" w:rsidRDefault="00B31CC0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3922B091" w14:textId="77777777" w:rsidR="000645F5" w:rsidRDefault="00B31CC0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02DC8B56" w14:textId="77777777" w:rsidR="000645F5" w:rsidRDefault="00B31CC0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0645F5" w14:paraId="5C7FB571" w14:textId="77777777">
        <w:tc>
          <w:tcPr>
            <w:tcW w:w="1559" w:type="dxa"/>
          </w:tcPr>
          <w:p w14:paraId="0851B092" w14:textId="77777777" w:rsidR="000645F5" w:rsidRDefault="00B31CC0">
            <w:pPr>
              <w:spacing w:after="20" w:line="240" w:lineRule="auto"/>
            </w:pPr>
            <w:r>
              <w:rPr>
                <w:sz w:val="19"/>
              </w:rPr>
              <w:t>R00</w:t>
            </w:r>
          </w:p>
        </w:tc>
        <w:tc>
          <w:tcPr>
            <w:tcW w:w="1559" w:type="dxa"/>
          </w:tcPr>
          <w:p w14:paraId="40EF8BA2" w14:textId="77777777" w:rsidR="000645F5" w:rsidRDefault="00B31CC0">
            <w:pPr>
              <w:spacing w:after="20" w:line="240" w:lineRule="auto"/>
            </w:pPr>
            <w:r>
              <w:rPr>
                <w:sz w:val="19"/>
              </w:rPr>
              <w:t>18/10/2026</w:t>
            </w:r>
          </w:p>
        </w:tc>
        <w:tc>
          <w:tcPr>
            <w:tcW w:w="1559" w:type="dxa"/>
          </w:tcPr>
          <w:p w14:paraId="40CCA157" w14:textId="77777777" w:rsidR="000645F5" w:rsidRDefault="00B31CC0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05565822" w14:textId="77777777" w:rsidR="000645F5" w:rsidRDefault="00B31CC0">
            <w:pPr>
              <w:spacing w:after="20" w:line="240" w:lineRule="auto"/>
            </w:pPr>
            <w:r>
              <w:rPr>
                <w:sz w:val="19"/>
              </w:rPr>
              <w:t>Emissão inicial (V1): frequências mínimas de controle da EXECUTORA e critérios de aceitação de misturas asfálticas, solos e camadas granulares e concreto, consolidados a partir das normas DNIT, ABNT e do PER. A V2 incorpora a revisão da Coordenação de Pavimento e Controle Tecnológico pelas condições locais.</w:t>
            </w:r>
          </w:p>
        </w:tc>
      </w:tr>
    </w:tbl>
    <w:p w14:paraId="2A608685" w14:textId="77777777" w:rsidR="000645F5" w:rsidRDefault="000645F5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0645F5" w14:paraId="584BF3ED" w14:textId="77777777">
        <w:trPr>
          <w:tblHeader/>
        </w:trPr>
        <w:tc>
          <w:tcPr>
            <w:tcW w:w="4677" w:type="dxa"/>
            <w:shd w:val="clear" w:color="auto" w:fill="F3F2ED"/>
          </w:tcPr>
          <w:p w14:paraId="54156752" w14:textId="77777777" w:rsidR="000645F5" w:rsidRDefault="00B31CC0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542987CF" w14:textId="77777777" w:rsidR="000645F5" w:rsidRDefault="00B31CC0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0645F5" w14:paraId="7017F8A2" w14:textId="77777777">
        <w:tc>
          <w:tcPr>
            <w:tcW w:w="4677" w:type="dxa"/>
          </w:tcPr>
          <w:p w14:paraId="74D9C23B" w14:textId="77777777" w:rsidR="000645F5" w:rsidRDefault="00B31CC0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60FD4A4B" w14:textId="77777777" w:rsidR="000645F5" w:rsidRDefault="00B31CC0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62AA5370" w14:textId="77777777" w:rsidR="000645F5" w:rsidRDefault="000645F5">
      <w:pPr>
        <w:spacing w:after="40"/>
      </w:pPr>
    </w:p>
    <w:p w14:paraId="3B4FE1CE" w14:textId="77777777" w:rsidR="000645F5" w:rsidRDefault="000645F5"/>
    <w:p w14:paraId="029667D1" w14:textId="77777777" w:rsidR="000645F5" w:rsidRDefault="00B31CC0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5F197771" w14:textId="77777777" w:rsidR="000645F5" w:rsidRDefault="00B31CC0">
      <w:pPr>
        <w:spacing w:after="120"/>
      </w:pPr>
      <w:r>
        <w:t>Este anexo consolida, para as obras da Concessão Rota dos Sertões, as frequências mínimas de controle da EXECUTORA e os critérios de aceitação de misturas asfálticas, solos e camadas granulares e concreto de cimento Portland. Detalha as seções 7 (PCT e ITP), 8 (amostragem) e 13 (estatística e regra de decisão) da Política. A verificação independente da Concessionária segue o Anexo 1 e não reduz as frequências deste anexo.</w:t>
      </w:r>
    </w:p>
    <w:p w14:paraId="6F0824EF" w14:textId="77777777" w:rsidR="000645F5" w:rsidRDefault="00B31CC0">
      <w:pPr>
        <w:pStyle w:val="Ttulo1"/>
        <w:spacing w:before="280" w:after="120"/>
      </w:pPr>
      <w:r>
        <w:rPr>
          <w:rFonts w:ascii="Calibri" w:eastAsia="Calibri" w:hAnsi="Calibri" w:cs="Calibri"/>
        </w:rPr>
        <w:t>2. Regras de aplicação</w:t>
      </w:r>
    </w:p>
    <w:p w14:paraId="267DD179" w14:textId="77777777" w:rsidR="000645F5" w:rsidRDefault="00B31CC0">
      <w:pPr>
        <w:spacing w:after="120"/>
      </w:pPr>
      <w:r>
        <w:t>Os valores abaixo são o mínimo contratual. Quando o projeto, a especificação de serviço ou o PCT aprovado fixarem valor mais exigente, vale o mais exigente. Quando a especificação admitir redução de frequência por homogeneidade de material ou dispensa por decisão da fiscalização, a redução não se aplica às obras da concessão, salvo autorização escrita da Gerência de Engenharia e Qualidade.</w:t>
      </w:r>
    </w:p>
    <w:p w14:paraId="43D9D11E" w14:textId="77777777" w:rsidR="000645F5" w:rsidRDefault="00B31CC0">
      <w:pPr>
        <w:spacing w:after="120"/>
      </w:pPr>
      <w:r>
        <w:t>A coluna Ponto indica o tipo de controle do Anexo 2: H, parada obrigatória com liberação por escrito antes da etapa seguinte; W, testemunho com aviso prévio de 24 horas; R, revisão documental. Resultado individual fora do critério de aceitação abre registro de não conformidade (Anexo 2) e reprova o lote afetado, ainda que a estatística do lote atenda; o fator de pagamento só existe onde o contrato de obra o previr.</w:t>
      </w:r>
    </w:p>
    <w:p w14:paraId="163854A7" w14:textId="77777777" w:rsidR="000645F5" w:rsidRDefault="00B31CC0">
      <w:pPr>
        <w:spacing w:after="120"/>
      </w:pPr>
      <w:r>
        <w:t xml:space="preserve">As referências normativas são as edições vigentes em 18/10/2026: DNIT 031/2024-ES com Errata 1, 385/2026-ES, 141/2022-ES, 139/2010-ES, 137/2010-ES, 138/2010-ES, 108/2009-ES, 143/2025-ES, </w:t>
      </w:r>
      <w:r>
        <w:lastRenderedPageBreak/>
        <w:t>098/2007-ES e 049/2013-ES; ABNT NBR 12655, 7212, 5738, 5739, 16889, 14931, 7211 e 7680; PER Vol. I, item 3.1.1. A edição de cada norma ABNT é confirmada no PCT antes do primeiro ensaio. Linhas com condição local a avaliar são revisadas pela Coordenação de Pavimento e Controle Tecnológico na revisão seguinte.</w:t>
      </w:r>
    </w:p>
    <w:p w14:paraId="0A143B9A" w14:textId="77777777" w:rsidR="000645F5" w:rsidRDefault="00B31CC0">
      <w:pPr>
        <w:pStyle w:val="Ttulo1"/>
        <w:spacing w:before="280" w:after="120"/>
      </w:pPr>
      <w:r>
        <w:rPr>
          <w:rFonts w:ascii="Calibri" w:eastAsia="Calibri" w:hAnsi="Calibri" w:cs="Calibri"/>
        </w:rPr>
        <w:t>3. Misturas asfálticas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760"/>
        <w:gridCol w:w="2071"/>
        <w:gridCol w:w="2071"/>
        <w:gridCol w:w="2071"/>
        <w:gridCol w:w="690"/>
      </w:tblGrid>
      <w:tr w:rsidR="000645F5" w14:paraId="7431BA0D" w14:textId="77777777">
        <w:trPr>
          <w:tblHeader/>
        </w:trPr>
        <w:tc>
          <w:tcPr>
            <w:tcW w:w="690" w:type="dxa"/>
            <w:shd w:val="clear" w:color="auto" w:fill="F3F2ED"/>
          </w:tcPr>
          <w:p w14:paraId="453F2783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760" w:type="dxa"/>
            <w:shd w:val="clear" w:color="auto" w:fill="F3F2ED"/>
          </w:tcPr>
          <w:p w14:paraId="22DB98A5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2071" w:type="dxa"/>
            <w:shd w:val="clear" w:color="auto" w:fill="F3F2ED"/>
          </w:tcPr>
          <w:p w14:paraId="5D7BB36D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71" w:type="dxa"/>
            <w:shd w:val="clear" w:color="auto" w:fill="F3F2ED"/>
          </w:tcPr>
          <w:p w14:paraId="6D9F535B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71" w:type="dxa"/>
            <w:shd w:val="clear" w:color="auto" w:fill="F3F2ED"/>
          </w:tcPr>
          <w:p w14:paraId="144DC671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0" w:type="dxa"/>
            <w:shd w:val="clear" w:color="auto" w:fill="F3F2ED"/>
          </w:tcPr>
          <w:p w14:paraId="06C2A49C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0645F5" w14:paraId="39EF6620" w14:textId="77777777">
        <w:tc>
          <w:tcPr>
            <w:tcW w:w="690" w:type="dxa"/>
          </w:tcPr>
          <w:p w14:paraId="32BB8C9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ASF-01</w:t>
            </w:r>
          </w:p>
        </w:tc>
        <w:tc>
          <w:tcPr>
            <w:tcW w:w="1760" w:type="dxa"/>
          </w:tcPr>
          <w:p w14:paraId="600C7CA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 (CAP convencional ou modificado)</w:t>
            </w:r>
          </w:p>
        </w:tc>
        <w:tc>
          <w:tcPr>
            <w:tcW w:w="2071" w:type="dxa"/>
          </w:tcPr>
          <w:p w14:paraId="5A16F4A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Recebimento do ligante</w:t>
            </w:r>
          </w:p>
        </w:tc>
        <w:tc>
          <w:tcPr>
            <w:tcW w:w="2071" w:type="dxa"/>
          </w:tcPr>
          <w:p w14:paraId="3DB55AC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Penetração (DNIT 155-ME), ponto de amolecimento (DNIT 131-ME), ponto de fulgor, espuma a 175 °C, viscosidade Brookfield (NBR 15184), índice de susceptibilidade térmica; RTFOT (NBR 15235) e curva viscosidade × temperatura pelo fornecedor</w:t>
            </w:r>
          </w:p>
        </w:tc>
        <w:tc>
          <w:tcPr>
            <w:tcW w:w="2071" w:type="dxa"/>
          </w:tcPr>
          <w:p w14:paraId="71694F0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Penetração, ponto de amolecimento, fulgor, espuma, viscosidade e IST em toda carga; RTFOT e curva de viscosidade do fornecedor a cada 100 t; certificado conferido em 100% das cargas; rastreio carga, tanque e lote</w:t>
            </w:r>
          </w:p>
        </w:tc>
        <w:tc>
          <w:tcPr>
            <w:tcW w:w="690" w:type="dxa"/>
          </w:tcPr>
          <w:p w14:paraId="7009903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R/H</w:t>
            </w:r>
          </w:p>
        </w:tc>
      </w:tr>
      <w:tr w:rsidR="000645F5" w14:paraId="586FD4CC" w14:textId="77777777">
        <w:tc>
          <w:tcPr>
            <w:tcW w:w="690" w:type="dxa"/>
          </w:tcPr>
          <w:p w14:paraId="302DBE1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ASF-02</w:t>
            </w:r>
          </w:p>
        </w:tc>
        <w:tc>
          <w:tcPr>
            <w:tcW w:w="1760" w:type="dxa"/>
          </w:tcPr>
          <w:p w14:paraId="65E2DB8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B0D0CC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Agregados na dosagem e a cada mudança de fonte</w:t>
            </w:r>
          </w:p>
        </w:tc>
        <w:tc>
          <w:tcPr>
            <w:tcW w:w="2071" w:type="dxa"/>
          </w:tcPr>
          <w:p w14:paraId="4EB031B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Los Angeles (DNIT 451-ME), índice de forma (DNIT 424/425-ME), lamelaridade, partículas fraturadas (DNIT 430-ME), absorção e densidade (DNIT 411/413-ME), durabilidade (DNIT 446-ME), equivalente de areia (DNIT 450-ME)</w:t>
            </w:r>
          </w:p>
        </w:tc>
        <w:tc>
          <w:tcPr>
            <w:tcW w:w="2071" w:type="dxa"/>
          </w:tcPr>
          <w:p w14:paraId="58702A3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Na dosagem e a cada mudança de fonte ou de britagem: LA ≤ 50%; índice de forma 0,5 a 2,0; lamelaridade ≤ 15% (faixa descontínua) e ≤ 25% (contínua); partículas fraturadas ≥ 90%; absorção ≤ 2%; durabilidade &lt; 12% (sulfato de sódio) ou &lt; 15% (magnésio); equivalente de areia ≥ 55%</w:t>
            </w:r>
          </w:p>
        </w:tc>
        <w:tc>
          <w:tcPr>
            <w:tcW w:w="690" w:type="dxa"/>
          </w:tcPr>
          <w:p w14:paraId="62119AE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5910DD30" w14:textId="77777777">
        <w:tc>
          <w:tcPr>
            <w:tcW w:w="690" w:type="dxa"/>
          </w:tcPr>
          <w:p w14:paraId="55438A3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ASF-03</w:t>
            </w:r>
          </w:p>
        </w:tc>
        <w:tc>
          <w:tcPr>
            <w:tcW w:w="1760" w:type="dxa"/>
          </w:tcPr>
          <w:p w14:paraId="1B1B818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0946094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Granulometria de cada fração e da mistura de agregados; material de enchimento</w:t>
            </w:r>
          </w:p>
        </w:tc>
        <w:tc>
          <w:tcPr>
            <w:tcW w:w="2071" w:type="dxa"/>
          </w:tcPr>
          <w:p w14:paraId="5EDF3A8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412-ME; DNIT 418-EM</w:t>
            </w:r>
          </w:p>
        </w:tc>
        <w:tc>
          <w:tcPr>
            <w:tcW w:w="2071" w:type="dxa"/>
          </w:tcPr>
          <w:p w14:paraId="34D4C39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Cada fração e mistura de agregados: a cada 4 h de produção; material de enchimento: 1 por dia</w:t>
            </w:r>
          </w:p>
        </w:tc>
        <w:tc>
          <w:tcPr>
            <w:tcW w:w="690" w:type="dxa"/>
          </w:tcPr>
          <w:p w14:paraId="6160C92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251EDDD9" w14:textId="77777777">
        <w:tc>
          <w:tcPr>
            <w:tcW w:w="690" w:type="dxa"/>
          </w:tcPr>
          <w:p w14:paraId="7702715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ASF-04</w:t>
            </w:r>
          </w:p>
        </w:tc>
        <w:tc>
          <w:tcPr>
            <w:tcW w:w="1760" w:type="dxa"/>
          </w:tcPr>
          <w:p w14:paraId="33C3474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592A15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Umidade dos agregados após secagem e equivalente de areia</w:t>
            </w:r>
          </w:p>
        </w:tc>
        <w:tc>
          <w:tcPr>
            <w:tcW w:w="2071" w:type="dxa"/>
          </w:tcPr>
          <w:p w14:paraId="4544A76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456-ME; DNIT 450-ME</w:t>
            </w:r>
          </w:p>
        </w:tc>
        <w:tc>
          <w:tcPr>
            <w:tcW w:w="2071" w:type="dxa"/>
          </w:tcPr>
          <w:p w14:paraId="75D6EC9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Umidade: 1 por dia, graúdo ≤ 3% e miúdo ≤ 4%; equivalente de areia: 1 por semana, ≥ 55%</w:t>
            </w:r>
          </w:p>
        </w:tc>
        <w:tc>
          <w:tcPr>
            <w:tcW w:w="690" w:type="dxa"/>
          </w:tcPr>
          <w:p w14:paraId="514026D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71DD5068" w14:textId="77777777">
        <w:tc>
          <w:tcPr>
            <w:tcW w:w="690" w:type="dxa"/>
          </w:tcPr>
          <w:p w14:paraId="2C319C3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ASF-05</w:t>
            </w:r>
          </w:p>
        </w:tc>
        <w:tc>
          <w:tcPr>
            <w:tcW w:w="1760" w:type="dxa"/>
          </w:tcPr>
          <w:p w14:paraId="064276F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ED9E5A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Temperaturas na usina e na pista</w:t>
            </w:r>
          </w:p>
        </w:tc>
        <w:tc>
          <w:tcPr>
            <w:tcW w:w="2071" w:type="dxa"/>
          </w:tcPr>
          <w:p w14:paraId="484BF2F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Termômetro verificado</w:t>
            </w:r>
          </w:p>
        </w:tc>
        <w:tc>
          <w:tcPr>
            <w:tcW w:w="2071" w:type="dxa"/>
          </w:tcPr>
          <w:p w14:paraId="24B3AEA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CAP e agregados no início de cada turno e a cada 4 h; mistura em cada caminhão na saída da usina, na chegada à pista e após o espalhamento; ±5 °C da temperatura de projeto; compactação não começa abaixo de 145 °C</w:t>
            </w:r>
          </w:p>
        </w:tc>
        <w:tc>
          <w:tcPr>
            <w:tcW w:w="690" w:type="dxa"/>
          </w:tcPr>
          <w:p w14:paraId="1C40828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0645F5" w14:paraId="5A35478E" w14:textId="77777777">
        <w:tc>
          <w:tcPr>
            <w:tcW w:w="690" w:type="dxa"/>
          </w:tcPr>
          <w:p w14:paraId="5262A94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>ASF-06</w:t>
            </w:r>
          </w:p>
        </w:tc>
        <w:tc>
          <w:tcPr>
            <w:tcW w:w="1760" w:type="dxa"/>
          </w:tcPr>
          <w:p w14:paraId="2E05009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10F4FEC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Teor de ligante e granulometria da mistura na usina</w:t>
            </w:r>
          </w:p>
        </w:tc>
        <w:tc>
          <w:tcPr>
            <w:tcW w:w="2071" w:type="dxa"/>
          </w:tcPr>
          <w:p w14:paraId="21DF8C5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158-ME ou ASTM D6307 (extrator calibrado por traço); DNIT 412-ME</w:t>
            </w:r>
          </w:p>
        </w:tc>
        <w:tc>
          <w:tcPr>
            <w:tcW w:w="2071" w:type="dxa"/>
          </w:tcPr>
          <w:p w14:paraId="181789E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Antes da saída do primeiro carregamento de cada jornada (carga liberada só com o resultado), a cada 4 h e a cada mudança de faixa; ±0,3% do teor de projeto; qualquer peneira fora da faixa de trabalho interrompe a produção e reprova o lote</w:t>
            </w:r>
          </w:p>
        </w:tc>
        <w:tc>
          <w:tcPr>
            <w:tcW w:w="690" w:type="dxa"/>
          </w:tcPr>
          <w:p w14:paraId="5A11068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72713B5A" w14:textId="77777777">
        <w:tc>
          <w:tcPr>
            <w:tcW w:w="690" w:type="dxa"/>
          </w:tcPr>
          <w:p w14:paraId="490707D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ASF-07</w:t>
            </w:r>
          </w:p>
        </w:tc>
        <w:tc>
          <w:tcPr>
            <w:tcW w:w="1760" w:type="dxa"/>
          </w:tcPr>
          <w:p w14:paraId="2DC4F3F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7CF0B6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Teor de ligante e granulometria na pista</w:t>
            </w:r>
          </w:p>
        </w:tc>
        <w:tc>
          <w:tcPr>
            <w:tcW w:w="2071" w:type="dxa"/>
          </w:tcPr>
          <w:p w14:paraId="5CF6ABF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Amostra após a acabadora, antes da compactação; DNIT 158-ME; DNIT 412-ME</w:t>
            </w:r>
          </w:p>
        </w:tc>
        <w:tc>
          <w:tcPr>
            <w:tcW w:w="2071" w:type="dxa"/>
          </w:tcPr>
          <w:p w14:paraId="7E2F17E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1 amostra por jornada por usina, coletada após a acabadora; ±0,3% e faixa da dosagem</w:t>
            </w:r>
          </w:p>
        </w:tc>
        <w:tc>
          <w:tcPr>
            <w:tcW w:w="690" w:type="dxa"/>
          </w:tcPr>
          <w:p w14:paraId="6FB4496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4FA7A512" w14:textId="77777777">
        <w:tc>
          <w:tcPr>
            <w:tcW w:w="690" w:type="dxa"/>
          </w:tcPr>
          <w:p w14:paraId="7CFECF6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ASF-08</w:t>
            </w:r>
          </w:p>
        </w:tc>
        <w:tc>
          <w:tcPr>
            <w:tcW w:w="1760" w:type="dxa"/>
          </w:tcPr>
          <w:p w14:paraId="5668597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C3C43F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Densidade máxima medida (Gmm)</w:t>
            </w:r>
          </w:p>
        </w:tc>
        <w:tc>
          <w:tcPr>
            <w:tcW w:w="2071" w:type="dxa"/>
          </w:tcPr>
          <w:p w14:paraId="2F07C3C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427-ME</w:t>
            </w:r>
          </w:p>
        </w:tc>
        <w:tc>
          <w:tcPr>
            <w:tcW w:w="2071" w:type="dxa"/>
          </w:tcPr>
          <w:p w14:paraId="57EF797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1 a cada 4 h de produção</w:t>
            </w:r>
          </w:p>
        </w:tc>
        <w:tc>
          <w:tcPr>
            <w:tcW w:w="690" w:type="dxa"/>
          </w:tcPr>
          <w:p w14:paraId="1914D7C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5F119ECB" w14:textId="77777777">
        <w:tc>
          <w:tcPr>
            <w:tcW w:w="690" w:type="dxa"/>
          </w:tcPr>
          <w:p w14:paraId="6D7475F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ASF-09</w:t>
            </w:r>
          </w:p>
        </w:tc>
        <w:tc>
          <w:tcPr>
            <w:tcW w:w="1760" w:type="dxa"/>
          </w:tcPr>
          <w:p w14:paraId="27DE30B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11FFA7F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Umidade da mistura usinada</w:t>
            </w:r>
          </w:p>
        </w:tc>
        <w:tc>
          <w:tcPr>
            <w:tcW w:w="2071" w:type="dxa"/>
          </w:tcPr>
          <w:p w14:paraId="17DA524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Estufa a 105 °C até constância de massa</w:t>
            </w:r>
          </w:p>
        </w:tc>
        <w:tc>
          <w:tcPr>
            <w:tcW w:w="2071" w:type="dxa"/>
          </w:tcPr>
          <w:p w14:paraId="2D93D24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1 por dia de produção; máximo 0,5% com agregado basáltico e 0,3% com outros agregados</w:t>
            </w:r>
          </w:p>
        </w:tc>
        <w:tc>
          <w:tcPr>
            <w:tcW w:w="690" w:type="dxa"/>
          </w:tcPr>
          <w:p w14:paraId="1AF5B44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636A2649" w14:textId="77777777">
        <w:tc>
          <w:tcPr>
            <w:tcW w:w="690" w:type="dxa"/>
          </w:tcPr>
          <w:p w14:paraId="4205C8E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ASF-10</w:t>
            </w:r>
          </w:p>
        </w:tc>
        <w:tc>
          <w:tcPr>
            <w:tcW w:w="1760" w:type="dxa"/>
          </w:tcPr>
          <w:p w14:paraId="72F8589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C6BBEE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Resistência à tração por compressão diametral a 25 °C</w:t>
            </w:r>
          </w:p>
        </w:tc>
        <w:tc>
          <w:tcPr>
            <w:tcW w:w="2071" w:type="dxa"/>
          </w:tcPr>
          <w:p w14:paraId="0C8744D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136-ME (CP pela DNIT 178-PRO)</w:t>
            </w:r>
          </w:p>
        </w:tc>
        <w:tc>
          <w:tcPr>
            <w:tcW w:w="2071" w:type="dxa"/>
          </w:tcPr>
          <w:p w14:paraId="3C67AF7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1 ensaio por dia de produção, com 3 CP, nas primeiras horas; ≥ 0,65 MPa e o limite das Tabelas 4 e 5 da ES ou do projeto, o maior</w:t>
            </w:r>
          </w:p>
        </w:tc>
        <w:tc>
          <w:tcPr>
            <w:tcW w:w="690" w:type="dxa"/>
          </w:tcPr>
          <w:p w14:paraId="70C2274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2296777B" w14:textId="77777777">
        <w:tc>
          <w:tcPr>
            <w:tcW w:w="690" w:type="dxa"/>
          </w:tcPr>
          <w:p w14:paraId="7A4BA7A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ASF-11</w:t>
            </w:r>
          </w:p>
        </w:tc>
        <w:tc>
          <w:tcPr>
            <w:tcW w:w="1760" w:type="dxa"/>
          </w:tcPr>
          <w:p w14:paraId="436B38B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036B7AF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Dano por umidade induzida (DUI)</w:t>
            </w:r>
          </w:p>
        </w:tc>
        <w:tc>
          <w:tcPr>
            <w:tcW w:w="2071" w:type="dxa"/>
          </w:tcPr>
          <w:p w14:paraId="4D58BE8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180-ME</w:t>
            </w:r>
          </w:p>
        </w:tc>
        <w:tc>
          <w:tcPr>
            <w:tcW w:w="2071" w:type="dxa"/>
          </w:tcPr>
          <w:p w14:paraId="609128D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Na aprovação do traço, a cada 5 dias de produção e a cada mudança de agregado; razão de resistência ≥ 0,70 ou a do projeto, o maior</w:t>
            </w:r>
          </w:p>
        </w:tc>
        <w:tc>
          <w:tcPr>
            <w:tcW w:w="690" w:type="dxa"/>
          </w:tcPr>
          <w:p w14:paraId="3BD9837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3ACEC957" w14:textId="77777777">
        <w:tc>
          <w:tcPr>
            <w:tcW w:w="690" w:type="dxa"/>
          </w:tcPr>
          <w:p w14:paraId="0172631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ASF-12</w:t>
            </w:r>
          </w:p>
        </w:tc>
        <w:tc>
          <w:tcPr>
            <w:tcW w:w="1760" w:type="dxa"/>
          </w:tcPr>
          <w:p w14:paraId="1C4FD55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DB8A46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Marshall e parâmetros volumétricos</w:t>
            </w:r>
          </w:p>
        </w:tc>
        <w:tc>
          <w:tcPr>
            <w:tcW w:w="2071" w:type="dxa"/>
          </w:tcPr>
          <w:p w14:paraId="6F88E0E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447-ME (estabilidade), DNIT 449-PRO (Vv, VAM, RBV, relação fíler/betume), Gmb DNIT 428-ME</w:t>
            </w:r>
          </w:p>
        </w:tc>
        <w:tc>
          <w:tcPr>
            <w:tcW w:w="2071" w:type="dxa"/>
          </w:tcPr>
          <w:p w14:paraId="71298E8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1 grupo de 3 CP por jornada por traço; Vv, VAM e RBV nas faixas das Tabelas 4 e 5 e do projeto; estabilidade ≥ 500 kgf quando a dosagem for Marshall; relação fíler/betume entre 0,6 e 1,6</w:t>
            </w:r>
          </w:p>
        </w:tc>
        <w:tc>
          <w:tcPr>
            <w:tcW w:w="690" w:type="dxa"/>
          </w:tcPr>
          <w:p w14:paraId="624CE3D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16E37273" w14:textId="77777777">
        <w:tc>
          <w:tcPr>
            <w:tcW w:w="690" w:type="dxa"/>
          </w:tcPr>
          <w:p w14:paraId="2A0ED49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ASF-13</w:t>
            </w:r>
          </w:p>
        </w:tc>
        <w:tc>
          <w:tcPr>
            <w:tcW w:w="1760" w:type="dxa"/>
          </w:tcPr>
          <w:p w14:paraId="15FE715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D4F9B5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Módulo de resiliência</w:t>
            </w:r>
          </w:p>
        </w:tc>
        <w:tc>
          <w:tcPr>
            <w:tcW w:w="2071" w:type="dxa"/>
          </w:tcPr>
          <w:p w14:paraId="5207D01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135-ME (mínimo 3 CP; tração auxiliar)</w:t>
            </w:r>
          </w:p>
        </w:tc>
        <w:tc>
          <w:tcPr>
            <w:tcW w:w="2071" w:type="dxa"/>
          </w:tcPr>
          <w:p w14:paraId="10C700F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Na aprovação do traço, a cada 3 meses de produção e a cada mudança de fonte; valor do dimensionamento</w:t>
            </w:r>
          </w:p>
        </w:tc>
        <w:tc>
          <w:tcPr>
            <w:tcW w:w="690" w:type="dxa"/>
          </w:tcPr>
          <w:p w14:paraId="3D7D9C5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762CB683" w14:textId="77777777">
        <w:tc>
          <w:tcPr>
            <w:tcW w:w="690" w:type="dxa"/>
          </w:tcPr>
          <w:p w14:paraId="2EAA6C2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ASF-14</w:t>
            </w:r>
          </w:p>
        </w:tc>
        <w:tc>
          <w:tcPr>
            <w:tcW w:w="1760" w:type="dxa"/>
          </w:tcPr>
          <w:p w14:paraId="5B0343B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748DA5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Grau de compactação na pista</w:t>
            </w:r>
          </w:p>
        </w:tc>
        <w:tc>
          <w:tcPr>
            <w:tcW w:w="2071" w:type="dxa"/>
          </w:tcPr>
          <w:p w14:paraId="30EDB4F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 xml:space="preserve">Testemunho com sonda rotativa (ASTM D5361) e Gmb (DNIT 428-ME); densímetro não nuclear (DNIT 431-ME) calibrado </w:t>
            </w:r>
            <w:r>
              <w:rPr>
                <w:sz w:val="18"/>
              </w:rPr>
              <w:lastRenderedPageBreak/>
              <w:t>por traço</w:t>
            </w:r>
          </w:p>
        </w:tc>
        <w:tc>
          <w:tcPr>
            <w:tcW w:w="2071" w:type="dxa"/>
          </w:tcPr>
          <w:p w14:paraId="2A4454C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1 determinação a cada 100 m de cada faixa, no mínimo 1 por jornada; GC entre 97% e 100% da Gmb de projeto; </w:t>
            </w:r>
            <w:r>
              <w:rPr>
                <w:sz w:val="18"/>
              </w:rPr>
              <w:lastRenderedPageBreak/>
              <w:t>testemunho por sonda rotativa (anéis proibidos); densímetro não nuclear só como controle de processo, calibrado por traço; pontos adicionais nos locais escolhidos pela Concessionária</w:t>
            </w:r>
          </w:p>
        </w:tc>
        <w:tc>
          <w:tcPr>
            <w:tcW w:w="690" w:type="dxa"/>
          </w:tcPr>
          <w:p w14:paraId="1A742E9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0645F5" w14:paraId="34F382AC" w14:textId="77777777">
        <w:tc>
          <w:tcPr>
            <w:tcW w:w="690" w:type="dxa"/>
          </w:tcPr>
          <w:p w14:paraId="2C62C75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ASF-15</w:t>
            </w:r>
          </w:p>
        </w:tc>
        <w:tc>
          <w:tcPr>
            <w:tcW w:w="1760" w:type="dxa"/>
          </w:tcPr>
          <w:p w14:paraId="6486F35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832C93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Espessura da camada</w:t>
            </w:r>
          </w:p>
        </w:tc>
        <w:tc>
          <w:tcPr>
            <w:tcW w:w="2071" w:type="dxa"/>
          </w:tcPr>
          <w:p w14:paraId="3F5E370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Testemunho (ASTM D5361)</w:t>
            </w:r>
          </w:p>
        </w:tc>
        <w:tc>
          <w:tcPr>
            <w:tcW w:w="2071" w:type="dxa"/>
          </w:tcPr>
          <w:p w14:paraId="1C7288B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 cada 100 m de cada faixa, no mesmo testemunho do GC; ±5% da espessura de projeto</w:t>
            </w:r>
          </w:p>
        </w:tc>
        <w:tc>
          <w:tcPr>
            <w:tcW w:w="690" w:type="dxa"/>
          </w:tcPr>
          <w:p w14:paraId="70F2FD7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05E7522B" w14:textId="77777777">
        <w:tc>
          <w:tcPr>
            <w:tcW w:w="690" w:type="dxa"/>
          </w:tcPr>
          <w:p w14:paraId="7CE8C77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ASF-16</w:t>
            </w:r>
          </w:p>
        </w:tc>
        <w:tc>
          <w:tcPr>
            <w:tcW w:w="1760" w:type="dxa"/>
          </w:tcPr>
          <w:p w14:paraId="0938146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77402B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Nivelamento, alinhamento e largura</w:t>
            </w:r>
          </w:p>
        </w:tc>
        <w:tc>
          <w:tcPr>
            <w:tcW w:w="2071" w:type="dxa"/>
          </w:tcPr>
          <w:p w14:paraId="489A23D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Topografia e trena</w:t>
            </w:r>
          </w:p>
        </w:tc>
        <w:tc>
          <w:tcPr>
            <w:tcW w:w="2071" w:type="dxa"/>
          </w:tcPr>
          <w:p w14:paraId="5C5EC44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 cada 20 m: cotas de -1 cm a +2 cm; eixo e bordos ±5 cm; largura não inferior ao projeto (revisão documental da topografia da EXECUTORA)</w:t>
            </w:r>
          </w:p>
        </w:tc>
        <w:tc>
          <w:tcPr>
            <w:tcW w:w="690" w:type="dxa"/>
          </w:tcPr>
          <w:p w14:paraId="3A9BCBD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7ED4155D" w14:textId="77777777">
        <w:tc>
          <w:tcPr>
            <w:tcW w:w="690" w:type="dxa"/>
          </w:tcPr>
          <w:p w14:paraId="1648006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ASF-17</w:t>
            </w:r>
          </w:p>
        </w:tc>
        <w:tc>
          <w:tcPr>
            <w:tcW w:w="1760" w:type="dxa"/>
          </w:tcPr>
          <w:p w14:paraId="634465E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205493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Deflexão no controle construtivo</w:t>
            </w:r>
          </w:p>
        </w:tc>
        <w:tc>
          <w:tcPr>
            <w:tcW w:w="2071" w:type="dxa"/>
          </w:tcPr>
          <w:p w14:paraId="2FD7CDE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FWD (DNER-PRO 273/96) ou Viga Benkelman (DNIT 133-ME), conforme projeto</w:t>
            </w:r>
          </w:p>
        </w:tc>
        <w:tc>
          <w:tcPr>
            <w:tcW w:w="2071" w:type="dxa"/>
          </w:tcPr>
          <w:p w14:paraId="0503E75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Obrigatória em toda camada de revestimento das obras da concessão (sem a dispensa da Nota 8): D0 a cada 20 m em faixa alternada e 40 m na mesma faixa; bacia a cada 100 m em faixa alternada e 200 m na mesma faixa; deflexão característica ≤ valor do projeto</w:t>
            </w:r>
          </w:p>
        </w:tc>
        <w:tc>
          <w:tcPr>
            <w:tcW w:w="690" w:type="dxa"/>
          </w:tcPr>
          <w:p w14:paraId="01CF0A8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4896F041" w14:textId="77777777">
        <w:tc>
          <w:tcPr>
            <w:tcW w:w="690" w:type="dxa"/>
          </w:tcPr>
          <w:p w14:paraId="29448AB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ASF-18</w:t>
            </w:r>
          </w:p>
        </w:tc>
        <w:tc>
          <w:tcPr>
            <w:tcW w:w="1760" w:type="dxa"/>
          </w:tcPr>
          <w:p w14:paraId="4589AD7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DCFE60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Acabamento transversal</w:t>
            </w:r>
          </w:p>
        </w:tc>
        <w:tc>
          <w:tcPr>
            <w:tcW w:w="2071" w:type="dxa"/>
          </w:tcPr>
          <w:p w14:paraId="3BB763F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Régua de 3,00 m</w:t>
            </w:r>
          </w:p>
        </w:tc>
        <w:tc>
          <w:tcPr>
            <w:tcW w:w="2071" w:type="dxa"/>
          </w:tcPr>
          <w:p w14:paraId="0581FB8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 cada 200 m; variação entre dois pontos ≤ 0,5 cm</w:t>
            </w:r>
          </w:p>
        </w:tc>
        <w:tc>
          <w:tcPr>
            <w:tcW w:w="690" w:type="dxa"/>
          </w:tcPr>
          <w:p w14:paraId="669A4D5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54AAC2A5" w14:textId="77777777">
        <w:tc>
          <w:tcPr>
            <w:tcW w:w="690" w:type="dxa"/>
          </w:tcPr>
          <w:p w14:paraId="618BD70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ASF-19</w:t>
            </w:r>
          </w:p>
        </w:tc>
        <w:tc>
          <w:tcPr>
            <w:tcW w:w="1760" w:type="dxa"/>
          </w:tcPr>
          <w:p w14:paraId="4CC563E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B96D43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Irregularidade longitudinal (IRI) no recebimento da camada</w:t>
            </w:r>
          </w:p>
        </w:tc>
        <w:tc>
          <w:tcPr>
            <w:tcW w:w="2071" w:type="dxa"/>
          </w:tcPr>
          <w:p w14:paraId="7457EB0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Perfilômetro inercial (DNIT 442-PRO)</w:t>
            </w:r>
          </w:p>
        </w:tc>
        <w:tc>
          <w:tcPr>
            <w:tcW w:w="2071" w:type="dxa"/>
          </w:tcPr>
          <w:p w14:paraId="6BE0CD2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Todas as faixas, a cada 200 m; IRI ≤ 1,9 m/km em pavimento novo e ≤ 2,4 m/km em restauração; acima disso a frente para e corrige antes da medição de espessura</w:t>
            </w:r>
          </w:p>
        </w:tc>
        <w:tc>
          <w:tcPr>
            <w:tcW w:w="690" w:type="dxa"/>
          </w:tcPr>
          <w:p w14:paraId="2A2B280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7BFEAF94" w14:textId="77777777">
        <w:tc>
          <w:tcPr>
            <w:tcW w:w="690" w:type="dxa"/>
          </w:tcPr>
          <w:p w14:paraId="35FA1FB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ASF-20</w:t>
            </w:r>
          </w:p>
        </w:tc>
        <w:tc>
          <w:tcPr>
            <w:tcW w:w="1760" w:type="dxa"/>
          </w:tcPr>
          <w:p w14:paraId="579E846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74AE2C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Macrotextura e microtextura</w:t>
            </w:r>
          </w:p>
        </w:tc>
        <w:tc>
          <w:tcPr>
            <w:tcW w:w="2071" w:type="dxa"/>
          </w:tcPr>
          <w:p w14:paraId="0EEAA0F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Mancha de areia (NBR 16504) e pêndulo britânico (NBR 16780)</w:t>
            </w:r>
          </w:p>
        </w:tc>
        <w:tc>
          <w:tcPr>
            <w:tcW w:w="2071" w:type="dxa"/>
          </w:tcPr>
          <w:p w14:paraId="5A2E183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 cada 300 m por faixa; HS do projeto, entre 0,6 mm e 1,2 mm (PER); VDR ≥ 47</w:t>
            </w:r>
          </w:p>
        </w:tc>
        <w:tc>
          <w:tcPr>
            <w:tcW w:w="690" w:type="dxa"/>
          </w:tcPr>
          <w:p w14:paraId="3564EDA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7E310594" w14:textId="77777777">
        <w:tc>
          <w:tcPr>
            <w:tcW w:w="690" w:type="dxa"/>
          </w:tcPr>
          <w:p w14:paraId="74A2C7A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ASF-21</w:t>
            </w:r>
          </w:p>
        </w:tc>
        <w:tc>
          <w:tcPr>
            <w:tcW w:w="1760" w:type="dxa"/>
          </w:tcPr>
          <w:p w14:paraId="23D1904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997F7F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71" w:type="dxa"/>
          </w:tcPr>
          <w:p w14:paraId="160F825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Plano de amostragem variável (DNIT 013-PRO) e controle estatístico da ES</w:t>
            </w:r>
          </w:p>
        </w:tc>
        <w:tc>
          <w:tcPr>
            <w:tcW w:w="2071" w:type="dxa"/>
          </w:tcPr>
          <w:p w14:paraId="6C08EAE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 xml:space="preserve">Controle estatístico da ES e, além dele, resultado individual fora da faixa de aceitação abre RNC e reprova o lote afetado; fator de pagamento só quando o </w:t>
            </w:r>
            <w:r>
              <w:rPr>
                <w:sz w:val="18"/>
              </w:rPr>
              <w:lastRenderedPageBreak/>
              <w:t>contrato de obra previr</w:t>
            </w:r>
          </w:p>
        </w:tc>
        <w:tc>
          <w:tcPr>
            <w:tcW w:w="690" w:type="dxa"/>
          </w:tcPr>
          <w:p w14:paraId="2D284D7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</w:tbl>
    <w:p w14:paraId="39AFEAD0" w14:textId="77777777" w:rsidR="000645F5" w:rsidRDefault="000645F5">
      <w:pPr>
        <w:spacing w:after="40"/>
      </w:pPr>
    </w:p>
    <w:p w14:paraId="2CD004B5" w14:textId="77777777" w:rsidR="000645F5" w:rsidRDefault="00B31CC0">
      <w:pPr>
        <w:pStyle w:val="Ttulo1"/>
        <w:spacing w:before="280" w:after="120"/>
      </w:pPr>
      <w:r>
        <w:rPr>
          <w:rFonts w:ascii="Calibri" w:eastAsia="Calibri" w:hAnsi="Calibri" w:cs="Calibri"/>
        </w:rPr>
        <w:t>4. Solos e camadas granulares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8"/>
        <w:gridCol w:w="2094"/>
        <w:gridCol w:w="1675"/>
        <w:gridCol w:w="2094"/>
        <w:gridCol w:w="2094"/>
        <w:gridCol w:w="698"/>
      </w:tblGrid>
      <w:tr w:rsidR="000645F5" w14:paraId="5D95409F" w14:textId="77777777">
        <w:trPr>
          <w:tblHeader/>
        </w:trPr>
        <w:tc>
          <w:tcPr>
            <w:tcW w:w="698" w:type="dxa"/>
            <w:shd w:val="clear" w:color="auto" w:fill="F3F2ED"/>
          </w:tcPr>
          <w:p w14:paraId="435150BF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94" w:type="dxa"/>
            <w:shd w:val="clear" w:color="auto" w:fill="F3F2ED"/>
          </w:tcPr>
          <w:p w14:paraId="219383AF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675" w:type="dxa"/>
            <w:shd w:val="clear" w:color="auto" w:fill="F3F2ED"/>
          </w:tcPr>
          <w:p w14:paraId="332F9150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94" w:type="dxa"/>
            <w:shd w:val="clear" w:color="auto" w:fill="F3F2ED"/>
          </w:tcPr>
          <w:p w14:paraId="42E68181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94" w:type="dxa"/>
            <w:shd w:val="clear" w:color="auto" w:fill="F3F2ED"/>
          </w:tcPr>
          <w:p w14:paraId="20030ABB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8" w:type="dxa"/>
            <w:shd w:val="clear" w:color="auto" w:fill="F3F2ED"/>
          </w:tcPr>
          <w:p w14:paraId="2FBF6BBF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0645F5" w14:paraId="28208963" w14:textId="77777777">
        <w:tc>
          <w:tcPr>
            <w:tcW w:w="698" w:type="dxa"/>
          </w:tcPr>
          <w:p w14:paraId="41DD037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SOL-01</w:t>
            </w:r>
          </w:p>
        </w:tc>
        <w:tc>
          <w:tcPr>
            <w:tcW w:w="2094" w:type="dxa"/>
          </w:tcPr>
          <w:p w14:paraId="56DB58D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Aterro, corpo e camada final</w:t>
            </w:r>
          </w:p>
        </w:tc>
        <w:tc>
          <w:tcPr>
            <w:tcW w:w="1675" w:type="dxa"/>
          </w:tcPr>
          <w:p w14:paraId="37EC94D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Compactação de referência e caracterização</w:t>
            </w:r>
          </w:p>
        </w:tc>
        <w:tc>
          <w:tcPr>
            <w:tcW w:w="2094" w:type="dxa"/>
          </w:tcPr>
          <w:p w14:paraId="0A17AAD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DNER-ME 129/94 (A no corpo, B na camada final); DNER-ME 080, 122, 082/94; ISC DNER-ME 049/94</w:t>
            </w:r>
          </w:p>
        </w:tc>
        <w:tc>
          <w:tcPr>
            <w:tcW w:w="2094" w:type="dxa"/>
          </w:tcPr>
          <w:p w14:paraId="4900E72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Corpo: compactação a cada 1.000 m³ e caracterização a cada 10 compactações; camada final: compactação a cada 200 m³, caracterização e ISC a cada 4 compactações; ISC e expansão do projeto</w:t>
            </w:r>
          </w:p>
        </w:tc>
        <w:tc>
          <w:tcPr>
            <w:tcW w:w="698" w:type="dxa"/>
          </w:tcPr>
          <w:p w14:paraId="42B1554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302391AA" w14:textId="77777777">
        <w:tc>
          <w:tcPr>
            <w:tcW w:w="698" w:type="dxa"/>
          </w:tcPr>
          <w:p w14:paraId="03436E9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SOL-02</w:t>
            </w:r>
          </w:p>
        </w:tc>
        <w:tc>
          <w:tcPr>
            <w:tcW w:w="2094" w:type="dxa"/>
          </w:tcPr>
          <w:p w14:paraId="4CF63F3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Aterro</w:t>
            </w:r>
          </w:p>
        </w:tc>
        <w:tc>
          <w:tcPr>
            <w:tcW w:w="1675" w:type="dxa"/>
          </w:tcPr>
          <w:p w14:paraId="1DE503B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Grau de compactação in situ</w:t>
            </w:r>
          </w:p>
        </w:tc>
        <w:tc>
          <w:tcPr>
            <w:tcW w:w="2094" w:type="dxa"/>
          </w:tcPr>
          <w:p w14:paraId="75CB89C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458-ME (frasco de areia) ou DNER-ME 037/94</w:t>
            </w:r>
          </w:p>
        </w:tc>
        <w:tc>
          <w:tcPr>
            <w:tcW w:w="2094" w:type="dxa"/>
          </w:tcPr>
          <w:p w14:paraId="1C72318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Por camada, 1 ponto a cada 100 m de pista e no mínimo 5 por segmento; GC ≥ 100% em todos os pontos antes de liberar a camada seguinte</w:t>
            </w:r>
          </w:p>
        </w:tc>
        <w:tc>
          <w:tcPr>
            <w:tcW w:w="698" w:type="dxa"/>
          </w:tcPr>
          <w:p w14:paraId="63E3AAF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01DFACCE" w14:textId="77777777">
        <w:tc>
          <w:tcPr>
            <w:tcW w:w="698" w:type="dxa"/>
          </w:tcPr>
          <w:p w14:paraId="5F97F3D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SOL-03</w:t>
            </w:r>
          </w:p>
        </w:tc>
        <w:tc>
          <w:tcPr>
            <w:tcW w:w="2094" w:type="dxa"/>
          </w:tcPr>
          <w:p w14:paraId="6373153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Regularização e reforço do subleito</w:t>
            </w:r>
          </w:p>
        </w:tc>
        <w:tc>
          <w:tcPr>
            <w:tcW w:w="1675" w:type="dxa"/>
          </w:tcPr>
          <w:p w14:paraId="5102A89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Caracterização, compactação, ISC e expansão</w:t>
            </w:r>
          </w:p>
        </w:tc>
        <w:tc>
          <w:tcPr>
            <w:tcW w:w="2094" w:type="dxa"/>
          </w:tcPr>
          <w:p w14:paraId="6E0A841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DNER-ME 080, 082, 122, 129 e 049/94</w:t>
            </w:r>
          </w:p>
        </w:tc>
        <w:tc>
          <w:tcPr>
            <w:tcW w:w="2094" w:type="dxa"/>
          </w:tcPr>
          <w:p w14:paraId="247B55E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Caracterização e compactação: 1 a cada 200 m ou por jornada (o maior); ISC e expansão: 1 a cada 400 m; sem redução por homogeneidade; reforço com ISC ≥ 20% e expansão ≤ 1% (ou valores do projeto, se mais exigentes)</w:t>
            </w:r>
          </w:p>
        </w:tc>
        <w:tc>
          <w:tcPr>
            <w:tcW w:w="698" w:type="dxa"/>
          </w:tcPr>
          <w:p w14:paraId="2A9A70A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4B617A8F" w14:textId="77777777">
        <w:tc>
          <w:tcPr>
            <w:tcW w:w="698" w:type="dxa"/>
          </w:tcPr>
          <w:p w14:paraId="7CF505E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SOL-04</w:t>
            </w:r>
          </w:p>
        </w:tc>
        <w:tc>
          <w:tcPr>
            <w:tcW w:w="2094" w:type="dxa"/>
          </w:tcPr>
          <w:p w14:paraId="5EF0F33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Regularização e reforço do subleito</w:t>
            </w:r>
          </w:p>
        </w:tc>
        <w:tc>
          <w:tcPr>
            <w:tcW w:w="1675" w:type="dxa"/>
          </w:tcPr>
          <w:p w14:paraId="5CAF9D0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Umidade, densidade in situ e geometria</w:t>
            </w:r>
          </w:p>
        </w:tc>
        <w:tc>
          <w:tcPr>
            <w:tcW w:w="2094" w:type="dxa"/>
          </w:tcPr>
          <w:p w14:paraId="5827449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DNER-ME 052/94 ou 088/94; DNIT 458-ME</w:t>
            </w:r>
          </w:p>
        </w:tc>
        <w:tc>
          <w:tcPr>
            <w:tcW w:w="2094" w:type="dxa"/>
          </w:tcPr>
          <w:p w14:paraId="75805B0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Umidade a cada 100 m imediatamente antes da compactação, de -2 a +1 ponto da ótima; densidade a cada 100 m; GC ≥ 100%; cotas ±3 cm; largura ±10 cm</w:t>
            </w:r>
          </w:p>
        </w:tc>
        <w:tc>
          <w:tcPr>
            <w:tcW w:w="698" w:type="dxa"/>
          </w:tcPr>
          <w:p w14:paraId="58302DF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41CA905D" w14:textId="77777777">
        <w:tc>
          <w:tcPr>
            <w:tcW w:w="698" w:type="dxa"/>
          </w:tcPr>
          <w:p w14:paraId="75A7A18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SOL-05</w:t>
            </w:r>
          </w:p>
        </w:tc>
        <w:tc>
          <w:tcPr>
            <w:tcW w:w="2094" w:type="dxa"/>
          </w:tcPr>
          <w:p w14:paraId="3AEBBEB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Sub-base estabilizada granulometricamente</w:t>
            </w:r>
          </w:p>
        </w:tc>
        <w:tc>
          <w:tcPr>
            <w:tcW w:w="1675" w:type="dxa"/>
          </w:tcPr>
          <w:p w14:paraId="0101094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Caracterização, compactação, ISC e expansão</w:t>
            </w:r>
          </w:p>
        </w:tc>
        <w:tc>
          <w:tcPr>
            <w:tcW w:w="2094" w:type="dxa"/>
          </w:tcPr>
          <w:p w14:paraId="1FCE314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DNER-ME 080, 082, 122/94; compactação energia B ou maior; ISC DNER-ME 049/94</w:t>
            </w:r>
          </w:p>
        </w:tc>
        <w:tc>
          <w:tcPr>
            <w:tcW w:w="2094" w:type="dxa"/>
          </w:tcPr>
          <w:p w14:paraId="4446338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Caracterização e compactação: 1 por camada a cada 200 m ou por jornada (o maior); ISC e expansão: 1 a cada 400 m; sem redução por homogeneidade; ISC ≥ 20% e expansão ≤ 1% (ou valores do projeto, se mais exigentes)</w:t>
            </w:r>
          </w:p>
        </w:tc>
        <w:tc>
          <w:tcPr>
            <w:tcW w:w="698" w:type="dxa"/>
          </w:tcPr>
          <w:p w14:paraId="5432F41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7AD6D727" w14:textId="77777777">
        <w:tc>
          <w:tcPr>
            <w:tcW w:w="698" w:type="dxa"/>
          </w:tcPr>
          <w:p w14:paraId="1311053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SOL-06</w:t>
            </w:r>
          </w:p>
        </w:tc>
        <w:tc>
          <w:tcPr>
            <w:tcW w:w="2094" w:type="dxa"/>
          </w:tcPr>
          <w:p w14:paraId="0F0303F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Sub-base estabilizada granulometricamente</w:t>
            </w:r>
          </w:p>
        </w:tc>
        <w:tc>
          <w:tcPr>
            <w:tcW w:w="1675" w:type="dxa"/>
          </w:tcPr>
          <w:p w14:paraId="01BC493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 xml:space="preserve">Umidade, grau de compactação e </w:t>
            </w:r>
            <w:r>
              <w:rPr>
                <w:sz w:val="18"/>
              </w:rPr>
              <w:lastRenderedPageBreak/>
              <w:t>geometria</w:t>
            </w:r>
          </w:p>
        </w:tc>
        <w:tc>
          <w:tcPr>
            <w:tcW w:w="2094" w:type="dxa"/>
          </w:tcPr>
          <w:p w14:paraId="2F52849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>DNER-ME 052/94 ou 088/94; DNIT 458-ME</w:t>
            </w:r>
          </w:p>
        </w:tc>
        <w:tc>
          <w:tcPr>
            <w:tcW w:w="2094" w:type="dxa"/>
          </w:tcPr>
          <w:p w14:paraId="0BB4C5F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 xml:space="preserve">Umidade e densidade a cada 100 m por camada; umidade de -2 a +1 </w:t>
            </w:r>
            <w:r>
              <w:rPr>
                <w:sz w:val="18"/>
              </w:rPr>
              <w:lastRenderedPageBreak/>
              <w:t>ponto da ótima; GC ≥ 100% em todos os pontos; espessura ±10% em cada ponto e ±5% na média; largura ±10 cm</w:t>
            </w:r>
          </w:p>
        </w:tc>
        <w:tc>
          <w:tcPr>
            <w:tcW w:w="698" w:type="dxa"/>
          </w:tcPr>
          <w:p w14:paraId="311B2E9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0645F5" w14:paraId="051E93B3" w14:textId="77777777">
        <w:tc>
          <w:tcPr>
            <w:tcW w:w="698" w:type="dxa"/>
          </w:tcPr>
          <w:p w14:paraId="1F08E8E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SOL-07</w:t>
            </w:r>
          </w:p>
        </w:tc>
        <w:tc>
          <w:tcPr>
            <w:tcW w:w="2094" w:type="dxa"/>
          </w:tcPr>
          <w:p w14:paraId="33DAE75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6FEABCA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Controle da mistura antes da obra</w:t>
            </w:r>
          </w:p>
        </w:tc>
        <w:tc>
          <w:tcPr>
            <w:tcW w:w="2094" w:type="dxa"/>
          </w:tcPr>
          <w:p w14:paraId="1B53C1F6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MR em triplicata (DNIT 134-ME) e deformação permanente (DNIT 179-IE), ou ISC e expansão (DNIT 172-ME)</w:t>
            </w:r>
          </w:p>
        </w:tc>
        <w:tc>
          <w:tcPr>
            <w:tcW w:w="2094" w:type="dxa"/>
          </w:tcPr>
          <w:p w14:paraId="7744C0D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Antes da obra e a cada mudança de material ou de fonte</w:t>
            </w:r>
          </w:p>
        </w:tc>
        <w:tc>
          <w:tcPr>
            <w:tcW w:w="698" w:type="dxa"/>
          </w:tcPr>
          <w:p w14:paraId="23A8284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727E6F0F" w14:textId="77777777">
        <w:tc>
          <w:tcPr>
            <w:tcW w:w="698" w:type="dxa"/>
          </w:tcPr>
          <w:p w14:paraId="0114F45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SOL-08</w:t>
            </w:r>
          </w:p>
        </w:tc>
        <w:tc>
          <w:tcPr>
            <w:tcW w:w="2094" w:type="dxa"/>
          </w:tcPr>
          <w:p w14:paraId="1BEDD3C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0DE1E83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Umidade, compactação, ISC e expansão na execução</w:t>
            </w:r>
          </w:p>
        </w:tc>
        <w:tc>
          <w:tcPr>
            <w:tcW w:w="2094" w:type="dxa"/>
          </w:tcPr>
          <w:p w14:paraId="2E96351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DNER-ME 052/94 ou 088/94; DNIT 164-ME; DNIT 172-ME</w:t>
            </w:r>
          </w:p>
        </w:tc>
        <w:tc>
          <w:tcPr>
            <w:tcW w:w="2094" w:type="dxa"/>
          </w:tcPr>
          <w:p w14:paraId="537EE6B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Umidade a cada 100 m, de -2 a +1 ponto; compactação de referência, expansão e ISC: 1 por camada a cada 200 m ou por jornada (o maior), sem redução; granulometria a cada 200 m; MR a cada 1.500 m quando no projeto; GC ≥ 100% em todos os pontos</w:t>
            </w:r>
          </w:p>
        </w:tc>
        <w:tc>
          <w:tcPr>
            <w:tcW w:w="698" w:type="dxa"/>
          </w:tcPr>
          <w:p w14:paraId="4666D82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6D22D87B" w14:textId="77777777">
        <w:tc>
          <w:tcPr>
            <w:tcW w:w="698" w:type="dxa"/>
          </w:tcPr>
          <w:p w14:paraId="7777831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SOL-09</w:t>
            </w:r>
          </w:p>
        </w:tc>
        <w:tc>
          <w:tcPr>
            <w:tcW w:w="2094" w:type="dxa"/>
          </w:tcPr>
          <w:p w14:paraId="3EEBFD5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7E61D3A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Deflexão no controle construtivo</w:t>
            </w:r>
          </w:p>
        </w:tc>
        <w:tc>
          <w:tcPr>
            <w:tcW w:w="2094" w:type="dxa"/>
          </w:tcPr>
          <w:p w14:paraId="0A02B07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Viga (DNER-ME 024/94) ou FWD (DNER-PRO 273/96)</w:t>
            </w:r>
          </w:p>
        </w:tc>
        <w:tc>
          <w:tcPr>
            <w:tcW w:w="2094" w:type="dxa"/>
          </w:tcPr>
          <w:p w14:paraId="2437F78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Obrigatória antes da camada seguinte (sem a dispensa da Nota 6): D0 a cada 20 m em faixa alternada e 40 m na mesma faixa; mínimo 15 determinações; Dc ≤ limite do projeto</w:t>
            </w:r>
          </w:p>
        </w:tc>
        <w:tc>
          <w:tcPr>
            <w:tcW w:w="698" w:type="dxa"/>
          </w:tcPr>
          <w:p w14:paraId="121FE86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744F90D0" w14:textId="77777777">
        <w:tc>
          <w:tcPr>
            <w:tcW w:w="698" w:type="dxa"/>
          </w:tcPr>
          <w:p w14:paraId="6CD7E19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SOL-10</w:t>
            </w:r>
          </w:p>
        </w:tc>
        <w:tc>
          <w:tcPr>
            <w:tcW w:w="2094" w:type="dxa"/>
          </w:tcPr>
          <w:p w14:paraId="30F54D5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Base e sub-base cimentadas (solo-cimento, solo-brita-cimento, fresado com cimento)</w:t>
            </w:r>
          </w:p>
        </w:tc>
        <w:tc>
          <w:tcPr>
            <w:tcW w:w="1675" w:type="dxa"/>
          </w:tcPr>
          <w:p w14:paraId="4DA40DF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Cimento, mistura, compactação e resistência</w:t>
            </w:r>
          </w:p>
        </w:tc>
        <w:tc>
          <w:tcPr>
            <w:tcW w:w="2094" w:type="dxa"/>
          </w:tcPr>
          <w:p w14:paraId="29B7B78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Finura (NBR 16372); umidade (DNIT 456-ME); taxa de cimento; RCS (DNER-ME 201/94 ou NBR 5739); GC (DNIT 458-ME)</w:t>
            </w:r>
          </w:p>
        </w:tc>
        <w:tc>
          <w:tcPr>
            <w:tcW w:w="2094" w:type="dxa"/>
          </w:tcPr>
          <w:p w14:paraId="0807D1B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Finura do cimento 1 por dia; na usina: umidade 2 por jornada, granulometria e taxa de cimento 1 por jornada (±0,5%); na pista, por camada e a cada 100 m: umidade, densidade, taxa de cimento e RCS aos 7 e 28 dias (≥ projeto); intervalo entre a incorporação do cimento e o fim da compactação ≤ 3 h; GC ≥ 100%; deflexão a cada 20 m após 7 dias de cura, antes da camada seguinte</w:t>
            </w:r>
          </w:p>
        </w:tc>
        <w:tc>
          <w:tcPr>
            <w:tcW w:w="698" w:type="dxa"/>
          </w:tcPr>
          <w:p w14:paraId="2F052B0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17EA8724" w14:textId="77777777">
        <w:tc>
          <w:tcPr>
            <w:tcW w:w="698" w:type="dxa"/>
          </w:tcPr>
          <w:p w14:paraId="2B73786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SOL-11</w:t>
            </w:r>
          </w:p>
        </w:tc>
        <w:tc>
          <w:tcPr>
            <w:tcW w:w="2094" w:type="dxa"/>
          </w:tcPr>
          <w:p w14:paraId="07DE85D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Base de solo laterítico (quando adotada)</w:t>
            </w:r>
          </w:p>
        </w:tc>
        <w:tc>
          <w:tcPr>
            <w:tcW w:w="1675" w:type="dxa"/>
          </w:tcPr>
          <w:p w14:paraId="7EC1906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Controle da execução</w:t>
            </w:r>
          </w:p>
        </w:tc>
        <w:tc>
          <w:tcPr>
            <w:tcW w:w="2094" w:type="dxa"/>
          </w:tcPr>
          <w:p w14:paraId="62CE811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DNIT 098/2007-ES</w:t>
            </w:r>
          </w:p>
        </w:tc>
        <w:tc>
          <w:tcPr>
            <w:tcW w:w="2094" w:type="dxa"/>
          </w:tcPr>
          <w:p w14:paraId="273AFA9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Frequências e limites da DNIT 098/2007-ES, com as regras de SOL-08 e SOL-09 para umidade, GC e deflexão</w:t>
            </w:r>
          </w:p>
        </w:tc>
        <w:tc>
          <w:tcPr>
            <w:tcW w:w="698" w:type="dxa"/>
          </w:tcPr>
          <w:p w14:paraId="1CAC454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1158BC47" w14:textId="77777777">
        <w:tc>
          <w:tcPr>
            <w:tcW w:w="698" w:type="dxa"/>
          </w:tcPr>
          <w:p w14:paraId="1B4F3B7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SOL-</w:t>
            </w:r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094" w:type="dxa"/>
          </w:tcPr>
          <w:p w14:paraId="49A8C70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>Todas as camadas</w:t>
            </w:r>
          </w:p>
        </w:tc>
        <w:tc>
          <w:tcPr>
            <w:tcW w:w="1675" w:type="dxa"/>
          </w:tcPr>
          <w:p w14:paraId="6AE7407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94" w:type="dxa"/>
          </w:tcPr>
          <w:p w14:paraId="44A1CE0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 xml:space="preserve">Plano de amostragem </w:t>
            </w:r>
            <w:r>
              <w:rPr>
                <w:sz w:val="18"/>
              </w:rPr>
              <w:lastRenderedPageBreak/>
              <w:t>(DNER-PRO 277/97 ou DNIT 013-PRO) e controle estatístico da ES</w:t>
            </w:r>
          </w:p>
        </w:tc>
        <w:tc>
          <w:tcPr>
            <w:tcW w:w="2094" w:type="dxa"/>
          </w:tcPr>
          <w:p w14:paraId="0E6AD66A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Controle estatístico da ES </w:t>
            </w:r>
            <w:r>
              <w:rPr>
                <w:sz w:val="18"/>
              </w:rPr>
              <w:lastRenderedPageBreak/>
              <w:t>e GC conforme em todos os pontos; camada liberada por escrito (ponto H) antes da seguinte; resultado individual abaixo do mínimo abre RNC</w:t>
            </w:r>
          </w:p>
        </w:tc>
        <w:tc>
          <w:tcPr>
            <w:tcW w:w="698" w:type="dxa"/>
          </w:tcPr>
          <w:p w14:paraId="33B0667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</w:tbl>
    <w:p w14:paraId="143BB4BB" w14:textId="77777777" w:rsidR="000645F5" w:rsidRDefault="000645F5">
      <w:pPr>
        <w:spacing w:after="40"/>
      </w:pPr>
    </w:p>
    <w:p w14:paraId="5191219B" w14:textId="77777777" w:rsidR="000645F5" w:rsidRDefault="00B31CC0">
      <w:pPr>
        <w:pStyle w:val="Ttulo1"/>
        <w:spacing w:before="280" w:after="120"/>
      </w:pPr>
      <w:r>
        <w:rPr>
          <w:rFonts w:ascii="Calibri" w:eastAsia="Calibri" w:hAnsi="Calibri" w:cs="Calibri"/>
        </w:rPr>
        <w:t>5. Concreto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2071"/>
        <w:gridCol w:w="1760"/>
        <w:gridCol w:w="2071"/>
        <w:gridCol w:w="2071"/>
        <w:gridCol w:w="690"/>
      </w:tblGrid>
      <w:tr w:rsidR="000645F5" w14:paraId="43D8D1CA" w14:textId="77777777">
        <w:trPr>
          <w:tblHeader/>
        </w:trPr>
        <w:tc>
          <w:tcPr>
            <w:tcW w:w="690" w:type="dxa"/>
            <w:shd w:val="clear" w:color="auto" w:fill="F3F2ED"/>
          </w:tcPr>
          <w:p w14:paraId="47C30F93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71" w:type="dxa"/>
            <w:shd w:val="clear" w:color="auto" w:fill="F3F2ED"/>
          </w:tcPr>
          <w:p w14:paraId="21395332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760" w:type="dxa"/>
            <w:shd w:val="clear" w:color="auto" w:fill="F3F2ED"/>
          </w:tcPr>
          <w:p w14:paraId="2F396202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71" w:type="dxa"/>
            <w:shd w:val="clear" w:color="auto" w:fill="F3F2ED"/>
          </w:tcPr>
          <w:p w14:paraId="4771AD16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71" w:type="dxa"/>
            <w:shd w:val="clear" w:color="auto" w:fill="F3F2ED"/>
          </w:tcPr>
          <w:p w14:paraId="6F09EDF8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0" w:type="dxa"/>
            <w:shd w:val="clear" w:color="auto" w:fill="F3F2ED"/>
          </w:tcPr>
          <w:p w14:paraId="6AFB4026" w14:textId="77777777" w:rsidR="000645F5" w:rsidRDefault="00B31CC0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0645F5" w14:paraId="172AF0CB" w14:textId="77777777">
        <w:tc>
          <w:tcPr>
            <w:tcW w:w="690" w:type="dxa"/>
          </w:tcPr>
          <w:p w14:paraId="6FF5001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CON-01</w:t>
            </w:r>
          </w:p>
        </w:tc>
        <w:tc>
          <w:tcPr>
            <w:tcW w:w="2071" w:type="dxa"/>
          </w:tcPr>
          <w:p w14:paraId="25110D5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estrutural (BSOs, pórticos Free Flow, OAE, drenagem)</w:t>
            </w:r>
          </w:p>
        </w:tc>
        <w:tc>
          <w:tcPr>
            <w:tcW w:w="1760" w:type="dxa"/>
          </w:tcPr>
          <w:p w14:paraId="1A39385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Recebimento de cimento, aditivos e adições</w:t>
            </w:r>
          </w:p>
        </w:tc>
        <w:tc>
          <w:tcPr>
            <w:tcW w:w="2071" w:type="dxa"/>
          </w:tcPr>
          <w:p w14:paraId="20333FD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Certificado do fabricante por lote; finura e pega quando houver dúvida</w:t>
            </w:r>
          </w:p>
        </w:tc>
        <w:tc>
          <w:tcPr>
            <w:tcW w:w="2071" w:type="dxa"/>
          </w:tcPr>
          <w:p w14:paraId="6925EE7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Certificado conferido em 100% dos lotes; mesmo tipo e classe de cimento do traço aprovado</w:t>
            </w:r>
          </w:p>
        </w:tc>
        <w:tc>
          <w:tcPr>
            <w:tcW w:w="690" w:type="dxa"/>
          </w:tcPr>
          <w:p w14:paraId="6F39CAE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00AE261E" w14:textId="77777777">
        <w:tc>
          <w:tcPr>
            <w:tcW w:w="690" w:type="dxa"/>
          </w:tcPr>
          <w:p w14:paraId="6564579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CON-02</w:t>
            </w:r>
          </w:p>
        </w:tc>
        <w:tc>
          <w:tcPr>
            <w:tcW w:w="2071" w:type="dxa"/>
          </w:tcPr>
          <w:p w14:paraId="558200E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769296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Agregados para concreto</w:t>
            </w:r>
          </w:p>
        </w:tc>
        <w:tc>
          <w:tcPr>
            <w:tcW w:w="2071" w:type="dxa"/>
          </w:tcPr>
          <w:p w14:paraId="1865666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ABNT NBR 7211 e métodos associados</w:t>
            </w:r>
          </w:p>
        </w:tc>
        <w:tc>
          <w:tcPr>
            <w:tcW w:w="2071" w:type="dxa"/>
          </w:tcPr>
          <w:p w14:paraId="0517249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1 caracterização por fonte antes do uso e a cada 5.000 m³ ou 3 meses; limites da NBR 7211</w:t>
            </w:r>
          </w:p>
        </w:tc>
        <w:tc>
          <w:tcPr>
            <w:tcW w:w="690" w:type="dxa"/>
          </w:tcPr>
          <w:p w14:paraId="63E26E4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0645F5" w14:paraId="47125BA9" w14:textId="77777777">
        <w:tc>
          <w:tcPr>
            <w:tcW w:w="690" w:type="dxa"/>
          </w:tcPr>
          <w:p w14:paraId="33F8EB7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CON-03</w:t>
            </w:r>
          </w:p>
        </w:tc>
        <w:tc>
          <w:tcPr>
            <w:tcW w:w="2071" w:type="dxa"/>
          </w:tcPr>
          <w:p w14:paraId="6F6E38A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27F5C4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Consistência (abatimento)</w:t>
            </w:r>
          </w:p>
        </w:tc>
        <w:tc>
          <w:tcPr>
            <w:tcW w:w="2071" w:type="dxa"/>
          </w:tcPr>
          <w:p w14:paraId="1B03111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ABNT NBR 16889</w:t>
            </w:r>
          </w:p>
        </w:tc>
        <w:tc>
          <w:tcPr>
            <w:tcW w:w="2071" w:type="dxa"/>
          </w:tcPr>
          <w:p w14:paraId="5FB3735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Toda carga (betonada) antes do lançamento; faixa do traço aprovado; fora da faixa a carga é recusada</w:t>
            </w:r>
          </w:p>
        </w:tc>
        <w:tc>
          <w:tcPr>
            <w:tcW w:w="690" w:type="dxa"/>
          </w:tcPr>
          <w:p w14:paraId="025D0EE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0645F5" w14:paraId="1B06214A" w14:textId="77777777">
        <w:tc>
          <w:tcPr>
            <w:tcW w:w="690" w:type="dxa"/>
          </w:tcPr>
          <w:p w14:paraId="265339C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CON-04</w:t>
            </w:r>
          </w:p>
        </w:tc>
        <w:tc>
          <w:tcPr>
            <w:tcW w:w="2071" w:type="dxa"/>
          </w:tcPr>
          <w:p w14:paraId="61DBD6B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49C9F5E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Temperatura e tempo de transporte</w:t>
            </w:r>
          </w:p>
        </w:tc>
        <w:tc>
          <w:tcPr>
            <w:tcW w:w="2071" w:type="dxa"/>
          </w:tcPr>
          <w:p w14:paraId="63EAEE8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Termômetro; registro na nota de entrega</w:t>
            </w:r>
          </w:p>
        </w:tc>
        <w:tc>
          <w:tcPr>
            <w:tcW w:w="2071" w:type="dxa"/>
          </w:tcPr>
          <w:p w14:paraId="46CD0AC1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Temperatura e horário em toda carga; limites do traço e da NBR 7212; adição de água só no limite do traço, com registro</w:t>
            </w:r>
          </w:p>
        </w:tc>
        <w:tc>
          <w:tcPr>
            <w:tcW w:w="690" w:type="dxa"/>
          </w:tcPr>
          <w:p w14:paraId="43226EE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0645F5" w14:paraId="37F78014" w14:textId="77777777">
        <w:tc>
          <w:tcPr>
            <w:tcW w:w="690" w:type="dxa"/>
          </w:tcPr>
          <w:p w14:paraId="5537C74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CON-05</w:t>
            </w:r>
          </w:p>
        </w:tc>
        <w:tc>
          <w:tcPr>
            <w:tcW w:w="2071" w:type="dxa"/>
          </w:tcPr>
          <w:p w14:paraId="57E5063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082C9639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Moldagem e compressão</w:t>
            </w:r>
          </w:p>
        </w:tc>
        <w:tc>
          <w:tcPr>
            <w:tcW w:w="2071" w:type="dxa"/>
          </w:tcPr>
          <w:p w14:paraId="318BB032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ABNT NBR 5738 e 5739</w:t>
            </w:r>
          </w:p>
        </w:tc>
        <w:tc>
          <w:tcPr>
            <w:tcW w:w="2071" w:type="dxa"/>
          </w:tcPr>
          <w:p w14:paraId="56F33D7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Amostragem total (1 exemplar de 2 CP por betonada) em fundações, pilares e vigas de pórticos, BSOs e OAE; amostragem parcial com lote ≤ 50 m³ e mínimo 6 exemplares nos demais elementos; idades de 7 e 28 dias</w:t>
            </w:r>
          </w:p>
        </w:tc>
        <w:tc>
          <w:tcPr>
            <w:tcW w:w="690" w:type="dxa"/>
          </w:tcPr>
          <w:p w14:paraId="4C88D24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0645F5" w14:paraId="2AB0C656" w14:textId="77777777">
        <w:tc>
          <w:tcPr>
            <w:tcW w:w="690" w:type="dxa"/>
          </w:tcPr>
          <w:p w14:paraId="2CF93F0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CON-06</w:t>
            </w:r>
          </w:p>
        </w:tc>
        <w:tc>
          <w:tcPr>
            <w:tcW w:w="2071" w:type="dxa"/>
          </w:tcPr>
          <w:p w14:paraId="70F3DF7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56D1801F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71" w:type="dxa"/>
          </w:tcPr>
          <w:p w14:paraId="3E2D0AA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Estimador fck,est (ABNT NBR 12655)</w:t>
            </w:r>
          </w:p>
        </w:tc>
        <w:tc>
          <w:tcPr>
            <w:tcW w:w="2071" w:type="dxa"/>
          </w:tcPr>
          <w:p w14:paraId="60FE063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 xml:space="preserve">fck,est ≥ fck do projeto; lote não conforme abre RNC, extração de testemunhos (NBR 7680, mínimo 6) e decisão do projetista antes de qualquer aceitação; reforço ou demolição sem ônus para a </w:t>
            </w:r>
            <w:r>
              <w:rPr>
                <w:sz w:val="18"/>
              </w:rPr>
              <w:lastRenderedPageBreak/>
              <w:t>Concessionária</w:t>
            </w:r>
          </w:p>
        </w:tc>
        <w:tc>
          <w:tcPr>
            <w:tcW w:w="690" w:type="dxa"/>
          </w:tcPr>
          <w:p w14:paraId="0C40BD74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0645F5" w14:paraId="35912573" w14:textId="77777777">
        <w:tc>
          <w:tcPr>
            <w:tcW w:w="690" w:type="dxa"/>
          </w:tcPr>
          <w:p w14:paraId="5AB597C0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CON-07</w:t>
            </w:r>
          </w:p>
        </w:tc>
        <w:tc>
          <w:tcPr>
            <w:tcW w:w="2071" w:type="dxa"/>
          </w:tcPr>
          <w:p w14:paraId="038B77AC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187AA99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Cura</w:t>
            </w:r>
          </w:p>
        </w:tc>
        <w:tc>
          <w:tcPr>
            <w:tcW w:w="2071" w:type="dxa"/>
          </w:tcPr>
          <w:p w14:paraId="34C826B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ABNT NBR 14931</w:t>
            </w:r>
          </w:p>
        </w:tc>
        <w:tc>
          <w:tcPr>
            <w:tcW w:w="2071" w:type="dxa"/>
          </w:tcPr>
          <w:p w14:paraId="7D8160A3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Cura úmida contínua por no mínimo 7 dias, registrada por elemento</w:t>
            </w:r>
          </w:p>
        </w:tc>
        <w:tc>
          <w:tcPr>
            <w:tcW w:w="690" w:type="dxa"/>
          </w:tcPr>
          <w:p w14:paraId="67655595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0645F5" w14:paraId="2CD394C2" w14:textId="77777777">
        <w:tc>
          <w:tcPr>
            <w:tcW w:w="690" w:type="dxa"/>
          </w:tcPr>
          <w:p w14:paraId="1C566AF8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CON-08</w:t>
            </w:r>
          </w:p>
        </w:tc>
        <w:tc>
          <w:tcPr>
            <w:tcW w:w="2071" w:type="dxa"/>
          </w:tcPr>
          <w:p w14:paraId="3A527CCB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Pavimento de concreto e placas (quando houver)</w:t>
            </w:r>
          </w:p>
        </w:tc>
        <w:tc>
          <w:tcPr>
            <w:tcW w:w="1760" w:type="dxa"/>
          </w:tcPr>
          <w:p w14:paraId="098A434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Resistência à tração na flexão, geometria e textura</w:t>
            </w:r>
          </w:p>
        </w:tc>
        <w:tc>
          <w:tcPr>
            <w:tcW w:w="2071" w:type="dxa"/>
          </w:tcPr>
          <w:p w14:paraId="1843B1DE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NBR 12142 (prismas); perfilógrafo ou perfilômetro; mancha de areia</w:t>
            </w:r>
          </w:p>
        </w:tc>
        <w:tc>
          <w:tcPr>
            <w:tcW w:w="2071" w:type="dxa"/>
          </w:tcPr>
          <w:p w14:paraId="780B5887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Abatimento em toda betonada; 32 exemplares de 2 prismas por 5.000 m² ou 1.000 m³; fctM,k estimado ≥ projeto; espessura média ≥ projeto e individual ≥ projeto − 1 cm; IRI ≤ 2,3 m/km; HS entre 0,6 mm e 1,2 mm a cada 100 m</w:t>
            </w:r>
          </w:p>
        </w:tc>
        <w:tc>
          <w:tcPr>
            <w:tcW w:w="690" w:type="dxa"/>
          </w:tcPr>
          <w:p w14:paraId="66502CCD" w14:textId="77777777" w:rsidR="000645F5" w:rsidRDefault="00B31CC0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</w:tbl>
    <w:p w14:paraId="4BFE999D" w14:textId="77777777" w:rsidR="000645F5" w:rsidRDefault="000645F5">
      <w:pPr>
        <w:spacing w:after="40"/>
      </w:pPr>
    </w:p>
    <w:p w14:paraId="0157EC4A" w14:textId="77777777" w:rsidR="000645F5" w:rsidRDefault="00B31CC0">
      <w:pPr>
        <w:pStyle w:val="Ttulo1"/>
        <w:spacing w:before="280" w:after="120"/>
      </w:pPr>
      <w:r>
        <w:rPr>
          <w:rFonts w:ascii="Calibri" w:eastAsia="Calibri" w:hAnsi="Calibri" w:cs="Calibri"/>
        </w:rPr>
        <w:t>6. Revisão deste anexo</w:t>
      </w:r>
    </w:p>
    <w:p w14:paraId="2510749A" w14:textId="77777777" w:rsidR="000645F5" w:rsidRDefault="00B31CC0">
      <w:pPr>
        <w:spacing w:after="120"/>
      </w:pPr>
      <w:r>
        <w:t>A V1 (R00) consolida as normas vigentes e as práticas de controle adotadas pela Concessionária. A V2 incorpora a revisão da Coordenação de Pavimento e Controle Tecnológico, linha a linha, pelas condições locais: clima semiárido, materiais e jazidas da região, distâncias de transporte e histórico de defeitos do trecho. Toda alteração é feita em favor da qualidade e entra na Política e nas RFPs na revisão seguinte, com registro no índice de revisões.</w:t>
      </w:r>
    </w:p>
    <w:sectPr w:rsidR="000645F5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674E" w14:textId="77777777" w:rsidR="00B31CC0" w:rsidRDefault="00B31CC0">
      <w:pPr>
        <w:spacing w:after="0" w:line="240" w:lineRule="auto"/>
      </w:pPr>
      <w:r>
        <w:separator/>
      </w:r>
    </w:p>
  </w:endnote>
  <w:endnote w:type="continuationSeparator" w:id="0">
    <w:p w14:paraId="76400501" w14:textId="77777777" w:rsidR="00B31CC0" w:rsidRDefault="00B31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0645F5" w14:paraId="018B3516" w14:textId="77777777">
      <w:tc>
        <w:tcPr>
          <w:tcW w:w="7937" w:type="dxa"/>
          <w:tcBorders>
            <w:bottom w:val="single" w:sz="12" w:space="0" w:color="F5BA00"/>
          </w:tcBorders>
        </w:tcPr>
        <w:p w14:paraId="3BBA64CB" w14:textId="77777777" w:rsidR="000645F5" w:rsidRDefault="000645F5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78B98E0B" w14:textId="77777777" w:rsidR="000645F5" w:rsidRDefault="000645F5">
          <w:pPr>
            <w:spacing w:after="0" w:line="40" w:lineRule="exact"/>
          </w:pPr>
        </w:p>
      </w:tc>
    </w:tr>
  </w:tbl>
  <w:p w14:paraId="54802E7C" w14:textId="77777777" w:rsidR="000645F5" w:rsidRDefault="00B31CC0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54842C4E" w14:textId="77777777" w:rsidR="000645F5" w:rsidRDefault="00B31CC0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6DA488CC" w14:textId="77777777" w:rsidR="000645F5" w:rsidRDefault="00B31CC0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74B4C" w14:textId="77777777" w:rsidR="00B31CC0" w:rsidRDefault="00B31CC0">
      <w:pPr>
        <w:spacing w:after="0" w:line="240" w:lineRule="auto"/>
      </w:pPr>
      <w:r>
        <w:separator/>
      </w:r>
    </w:p>
  </w:footnote>
  <w:footnote w:type="continuationSeparator" w:id="0">
    <w:p w14:paraId="2DC428EA" w14:textId="77777777" w:rsidR="00B31CC0" w:rsidRDefault="00B31C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13F89" w14:textId="77777777" w:rsidR="000645F5" w:rsidRDefault="00B31CC0">
    <w:r>
      <w:rPr>
        <w:noProof/>
      </w:rPr>
      <w:drawing>
        <wp:inline distT="0" distB="0" distL="0" distR="0" wp14:anchorId="29BFD973" wp14:editId="4005D03E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090629">
    <w:abstractNumId w:val="8"/>
  </w:num>
  <w:num w:numId="2" w16cid:durableId="1948075884">
    <w:abstractNumId w:val="6"/>
  </w:num>
  <w:num w:numId="3" w16cid:durableId="2106804995">
    <w:abstractNumId w:val="5"/>
  </w:num>
  <w:num w:numId="4" w16cid:durableId="881554165">
    <w:abstractNumId w:val="4"/>
  </w:num>
  <w:num w:numId="5" w16cid:durableId="1373308023">
    <w:abstractNumId w:val="7"/>
  </w:num>
  <w:num w:numId="6" w16cid:durableId="613633263">
    <w:abstractNumId w:val="3"/>
  </w:num>
  <w:num w:numId="7" w16cid:durableId="799152867">
    <w:abstractNumId w:val="2"/>
  </w:num>
  <w:num w:numId="8" w16cid:durableId="1036196530">
    <w:abstractNumId w:val="1"/>
  </w:num>
  <w:num w:numId="9" w16cid:durableId="67896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5F5"/>
    <w:rsid w:val="0015074B"/>
    <w:rsid w:val="0029639D"/>
    <w:rsid w:val="00326F90"/>
    <w:rsid w:val="00503985"/>
    <w:rsid w:val="00AA1D8D"/>
    <w:rsid w:val="00B31CC0"/>
    <w:rsid w:val="00B47730"/>
    <w:rsid w:val="00B914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649CE"/>
  <w14:defaultImageDpi w14:val="300"/>
  <w15:docId w15:val="{83D38BBA-A89A-4205-8CA2-1D9C3AFB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2493</Words>
  <Characters>12428</Characters>
  <Application>Microsoft Office Word</Application>
  <DocSecurity>0</DocSecurity>
  <Lines>791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Parâmetros de controle e aceitação por material R00</dc:title>
  <dc:subject>Política de Controle Tecnológico de Obras</dc:subject>
  <dc:creator>Concessionária 116 Sertões S.A.</dc:creator>
  <cp:keywords>POL-CT-116-A6; R00;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2026-10-18T15:49:00Z</dcterms:modified>
  <cp:category/>
  <cp:version>R00</cp:version>
</cp:coreProperties>
</file>