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DEL PROYECTO</w:t>
      </w:r>
    </w:p>
    <w:p>
      <w:pPr>
        <w:jc w:val="center"/>
      </w:pPr>
      <w:r>
        <w:rPr>
          <w:rFonts w:ascii="Aptos" w:hAnsi="Aptos"/>
          <w:b/>
          <w:color w:val="245636"/>
          <w:sz w:val="32"/>
        </w:rPr>
        <w:t>Catálogo virtual de flora ornamental de Iquitos</w:t>
        <w:br/>
        <w:t>con identificación morfológica asistida</w:t>
      </w:r>
    </w:p>
    <w:p>
      <w:pPr>
        <w:pStyle w:val="Subtitle"/>
        <w:jc w:val="center"/>
      </w:pPr>
      <w:r>
        <w:t>Actividad de Responsabilidad Social Universitaria</w:t>
        <w:br/>
        <w:t>Curso: Botánica Sistemática</w:t>
      </w:r>
    </w:p>
    <w:p/>
    <w:tbl>
      <w:tblPr>
        <w:tblStyle w:val="TableGrid"/>
        <w:tblW w:type="auto" w:w="0"/>
        <w:jc w:val="center"/>
        <w:tblLook w:firstColumn="1" w:firstRow="1" w:lastColumn="0" w:lastRow="0" w:noHBand="0" w:noVBand="1" w:val="04A0"/>
      </w:tblPr>
      <w:tblGrid>
        <w:gridCol w:w="4759"/>
        <w:gridCol w:w="4759"/>
      </w:tblGrid>
      <w:tr>
        <w:tc>
          <w:tcPr>
            <w:tcW w:type="dxa" w:w="4759"/>
            <w:tcMar>
              <w:top w:w="90" w:type="dxa"/>
              <w:start w:w="100" w:type="dxa"/>
              <w:bottom w:w="90" w:type="dxa"/>
              <w:end w:w="100" w:type="dxa"/>
            </w:tcMar>
            <w:vAlign w:val="center"/>
            <w:shd w:fill="E8F1EA"/>
          </w:tcPr>
          <w:p>
            <w:r>
              <w:rPr>
                <w:b/>
              </w:rPr>
              <w:t>Naturaleza del proyecto</w:t>
            </w:r>
          </w:p>
        </w:tc>
        <w:tc>
          <w:tcPr>
            <w:tcW w:type="dxa" w:w="4759"/>
            <w:tcMar>
              <w:top w:w="90" w:type="dxa"/>
              <w:start w:w="100" w:type="dxa"/>
              <w:bottom w:w="90" w:type="dxa"/>
              <w:end w:w="100" w:type="dxa"/>
            </w:tcMar>
            <w:vAlign w:val="center"/>
          </w:tcPr>
          <w:p>
            <w:r>
              <w:t>Académico, social y tecnológico</w:t>
            </w:r>
          </w:p>
        </w:tc>
      </w:tr>
      <w:tr>
        <w:tc>
          <w:tcPr>
            <w:tcW w:type="dxa" w:w="4759"/>
            <w:tcMar>
              <w:top w:w="90" w:type="dxa"/>
              <w:start w:w="100" w:type="dxa"/>
              <w:bottom w:w="90" w:type="dxa"/>
              <w:end w:w="100" w:type="dxa"/>
            </w:tcMar>
            <w:vAlign w:val="center"/>
            <w:shd w:fill="E8F1EA"/>
          </w:tcPr>
          <w:p>
            <w:r>
              <w:rPr>
                <w:b/>
              </w:rPr>
              <w:t>Ámbito de intervención</w:t>
            </w:r>
          </w:p>
        </w:tc>
        <w:tc>
          <w:tcPr>
            <w:tcW w:type="dxa" w:w="4759"/>
            <w:tcMar>
              <w:top w:w="90" w:type="dxa"/>
              <w:start w:w="100" w:type="dxa"/>
              <w:bottom w:w="90" w:type="dxa"/>
              <w:end w:w="100" w:type="dxa"/>
            </w:tcMar>
            <w:vAlign w:val="center"/>
          </w:tcPr>
          <w:p>
            <w:r>
              <w:t>Espacios urbanos y ornamentales de Iquitos</w:t>
            </w:r>
          </w:p>
        </w:tc>
      </w:tr>
      <w:tr>
        <w:tc>
          <w:tcPr>
            <w:tcW w:type="dxa" w:w="4759"/>
            <w:tcMar>
              <w:top w:w="90" w:type="dxa"/>
              <w:start w:w="100" w:type="dxa"/>
              <w:bottom w:w="90" w:type="dxa"/>
              <w:end w:w="100" w:type="dxa"/>
            </w:tcMar>
            <w:vAlign w:val="center"/>
            <w:shd w:fill="E8F1EA"/>
          </w:tcPr>
          <w:p>
            <w:r>
              <w:rPr>
                <w:b/>
              </w:rPr>
              <w:t>Población participante</w:t>
            </w:r>
          </w:p>
        </w:tc>
        <w:tc>
          <w:tcPr>
            <w:tcW w:type="dxa" w:w="4759"/>
            <w:tcMar>
              <w:top w:w="90" w:type="dxa"/>
              <w:start w:w="100" w:type="dxa"/>
              <w:bottom w:w="90" w:type="dxa"/>
              <w:end w:w="100" w:type="dxa"/>
            </w:tcMar>
            <w:vAlign w:val="center"/>
          </w:tcPr>
          <w:p>
            <w:r>
              <w:t>Estudiantes del curso, docentes y usuarios de consulta</w:t>
            </w:r>
          </w:p>
        </w:tc>
      </w:tr>
      <w:tr>
        <w:tc>
          <w:tcPr>
            <w:tcW w:type="dxa" w:w="4759"/>
            <w:tcMar>
              <w:top w:w="90" w:type="dxa"/>
              <w:start w:w="100" w:type="dxa"/>
              <w:bottom w:w="90" w:type="dxa"/>
              <w:end w:w="100" w:type="dxa"/>
            </w:tcMar>
            <w:vAlign w:val="center"/>
            <w:shd w:fill="E8F1EA"/>
          </w:tcPr>
          <w:p>
            <w:r>
              <w:rPr>
                <w:b/>
              </w:rPr>
              <w:t>Producto central</w:t>
            </w:r>
          </w:p>
        </w:tc>
        <w:tc>
          <w:tcPr>
            <w:tcW w:type="dxa" w:w="4759"/>
            <w:tcMar>
              <w:top w:w="90" w:type="dxa"/>
              <w:start w:w="100" w:type="dxa"/>
              <w:bottom w:w="90" w:type="dxa"/>
              <w:end w:w="100" w:type="dxa"/>
            </w:tcMar>
            <w:vAlign w:val="center"/>
          </w:tcPr>
          <w:p>
            <w:r>
              <w:t>Catálogo virtual interactivo con fichas técnicas y buscador morfológico</w:t>
            </w:r>
          </w:p>
        </w:tc>
      </w:tr>
    </w:tbl>
    <w:p>
      <w:r>
        <w:br w:type="page"/>
      </w:r>
    </w:p>
    <w:p>
      <w:pPr>
        <w:pStyle w:val="Heading1"/>
      </w:pPr>
      <w:r>
        <w:t>1. Presentación</w:t>
      </w:r>
    </w:p>
    <w:p>
      <w:pPr>
        <w:jc w:val="both"/>
      </w:pPr>
      <w:r>
        <w:t>El presente plan organiza el desarrollo del proyecto “Catálogo virtual de flora ornamental de Iquitos con identificación morfológica asistida” como actividad de Responsabilidad Social Universitaria en el curso de Botánica Sistemática. El proyecto busca articular formación académica, servicio a la comunidad y generación de un producto digital útil para estudiantes, municipalidades, viveristas, instituciones educativas y ciudadanía interesada en el conocimiento y uso de la flora ornamental de la ciudad.</w:t>
      </w:r>
    </w:p>
    <w:p>
      <w:pPr>
        <w:jc w:val="both"/>
      </w:pPr>
    </w:p>
    <w:p>
      <w:pPr>
        <w:jc w:val="both"/>
      </w:pPr>
      <w:r>
        <w:t>La propuesta se sustenta en una necesidad concreta: existe escasa información sistematizada, accesible y visualmente comparativa sobre las especies ornamentales presentes en Iquitos, especialmente desde una perspectiva botánica rigurosa y orientada a la toma de decisiones urbanas. Frente a ello, el curso asumirá un rol activo mediante el levantamiento de información de campo, la documentación fotográfica, la caracterización morfológica y la construcción de fichas técnicas estandarizadas.</w:t>
      </w:r>
    </w:p>
    <w:p>
      <w:pPr>
        <w:pStyle w:val="Heading1"/>
      </w:pPr>
      <w:r>
        <w:t>2. Justificación</w:t>
      </w:r>
    </w:p>
    <w:p>
      <w:pPr>
        <w:jc w:val="both"/>
      </w:pPr>
      <w:r>
        <w:t>Iquitos requiere herramientas que valoren y difundan su diversidad vegetal ornamental, con énfasis en especies nativas amazónicas y en criterios funcionales para el reverdecimiento urbano. Un catálogo virtual de acceso sencillo permitirá reconocer especies, orientar plantaciones, apoyar procesos educativos y fortalecer la cultura botánica local.</w:t>
      </w:r>
    </w:p>
    <w:p>
      <w:pPr>
        <w:jc w:val="both"/>
      </w:pPr>
    </w:p>
    <w:p>
      <w:pPr>
        <w:jc w:val="both"/>
      </w:pPr>
      <w:r>
        <w:t>Desde el punto de vista académico, el proyecto convierte la teoría del curso en práctica real. Los estudiantes aplicarán clasificación, descripción morfológica, terminología botánica, reconocimiento de caracteres diagnósticos y validación taxonómica. Desde la perspectiva social, el proyecto generará un insumo útil para la ciudad, con potencial para apoyar iniciativas de arborización, paisajismo, educación ambiental y conservación urbana.</w:t>
      </w:r>
    </w:p>
    <w:p>
      <w:pPr>
        <w:pStyle w:val="Heading1"/>
      </w:pPr>
      <w:r>
        <w:t>3. Objetivos</w:t>
      </w:r>
    </w:p>
    <w:p>
      <w:pPr>
        <w:pStyle w:val="Heading2"/>
      </w:pPr>
      <w:r>
        <w:t>3.1 Objetivo general</w:t>
      </w:r>
    </w:p>
    <w:p>
      <w:pPr>
        <w:jc w:val="both"/>
      </w:pPr>
      <w:r>
        <w:t>Desarrollar un catálogo virtual de flora ornamental de Iquitos, basado en caracteres morfológicos y comparación visual, como herramienta formativa y de servicio a la comunidad en el marco de la Responsabilidad Social Universitaria.</w:t>
      </w:r>
    </w:p>
    <w:p>
      <w:pPr>
        <w:pStyle w:val="Heading2"/>
      </w:pPr>
      <w:r>
        <w:t>3.2 Objetivos específicos</w:t>
      </w:r>
    </w:p>
    <w:p>
      <w:pPr>
        <w:jc w:val="both"/>
      </w:pPr>
      <w:r>
        <w:t>• Registrar y documentar especies ornamentales presentes en la ciudad de Iquitos.</w:t>
      </w:r>
    </w:p>
    <w:p>
      <w:pPr>
        <w:jc w:val="both"/>
      </w:pPr>
      <w:r>
        <w:t>• Estandarizar caracteres morfológicos útiles para la identificación progresiva de especies.</w:t>
      </w:r>
    </w:p>
    <w:p>
      <w:pPr>
        <w:jc w:val="both"/>
      </w:pPr>
      <w:r>
        <w:t>• Elaborar fichas técnicas por especie con información taxonómica, morfológica, ornamental y ecológica.</w:t>
      </w:r>
    </w:p>
    <w:p>
      <w:pPr>
        <w:jc w:val="both"/>
      </w:pPr>
      <w:r>
        <w:t>• Implementar un sistema de búsqueda flexible que permita seleccionar múltiples caracteres y obtener posibilidades de identificación cercanas.</w:t>
      </w:r>
    </w:p>
    <w:p>
      <w:pPr>
        <w:jc w:val="both"/>
      </w:pPr>
      <w:r>
        <w:t>• Organizar un banco fotográfico comparativo por especie.</w:t>
      </w:r>
    </w:p>
    <w:p>
      <w:pPr>
        <w:jc w:val="both"/>
      </w:pPr>
      <w:r>
        <w:t>• Socializar el catálogo con usuarios potenciales y recoger observaciones para su mejora.</w:t>
      </w:r>
    </w:p>
    <w:p>
      <w:pPr>
        <w:pStyle w:val="Heading1"/>
      </w:pPr>
      <w:r>
        <w:t>4. Alcance del proyecto</w:t>
      </w:r>
    </w:p>
    <w:p>
      <w:pPr>
        <w:jc w:val="both"/>
      </w:pPr>
      <w:r>
        <w:t>El proyecto contempla la selección inicial de un conjunto priorizado de especies ornamentales presentes en Iquitos, registradas en parques, plazas, calles, jardines institucionales y otros espacios urbanos accesibles. La primera versión del catálogo tendrá carácter piloto y deberá priorizar calidad técnica, consistencia de datos y utilidad de consulta por encima de la cantidad de especies incorporadas.</w:t>
      </w:r>
    </w:p>
    <w:p>
      <w:pPr>
        <w:jc w:val="both"/>
      </w:pPr>
    </w:p>
    <w:p>
      <w:pPr>
        <w:jc w:val="both"/>
      </w:pPr>
      <w:r>
        <w:t>La herramienta permitirá filtrar especies por hábito y por caracteres morfológicos visibles de flor, fruto, semilla, exudado, inflorescencia e infrutescencia. El resultado de búsqueda no será una identificación cerrada, sino una lista jerarquizada de especies probables para comparación visual por parte del usuario.</w:t>
      </w:r>
    </w:p>
    <w:p>
      <w:pPr>
        <w:pStyle w:val="Heading1"/>
      </w:pPr>
      <w:r>
        <w:t>5. Descripción funcional del catálogo virtual</w:t>
      </w:r>
    </w:p>
    <w:p>
      <w:pPr>
        <w:jc w:val="both"/>
      </w:pPr>
      <w:r>
        <w:t>El catálogo se estructurará como una plataforma de consulta donde el usuario podrá seleccionar simultáneamente varios caracteres observados en la planta. Con base en esta combinación, el sistema generará coincidencias morfológicas cercanas. Luego el usuario comparará imágenes de la aplicación con el ejemplar observado en la realidad y escogerá la especie más concordante; al presionarla, se abrirá la ficha técnica completa.</w:t>
      </w:r>
    </w:p>
    <w:p>
      <w:pPr>
        <w:jc w:val="both"/>
      </w:pPr>
    </w:p>
    <w:p>
      <w:pPr>
        <w:jc w:val="both"/>
      </w:pPr>
      <w:r>
        <w:t>La lógica de búsqueda morfológica considerará, de manera progresiva y combinable, los siguientes grupos de caracteres: hábito; caracteres florales (color, tipo, longitud, sexo y tipo de inflorescencia); caracteres del fruto (color, tipo, longitud y tipo de infrutescencia); caracteres de la semilla (color, tipo y longitud); y caracteres vegetativos complementarios como tipo y color de exudado.</w:t>
      </w:r>
    </w:p>
    <w:p>
      <w:pPr>
        <w:pStyle w:val="Heading1"/>
      </w:pPr>
      <w:r>
        <w:t>6. Metodología de trabajo</w:t>
      </w:r>
    </w:p>
    <w:p>
      <w:pPr>
        <w:pStyle w:val="Heading2"/>
      </w:pPr>
      <w:r>
        <w:t>6.1 Fase 1. Planificación y estandarización</w:t>
      </w:r>
    </w:p>
    <w:p>
      <w:pPr>
        <w:jc w:val="both"/>
      </w:pPr>
      <w:r>
        <w:t>En esta fase se definirá la lista inicial de especies, la estructura oficial de ficha técnica, el protocolo de registro de datos y la matriz de caracteres morfológicos. También se establecerán criterios para nombres científicos actualizados, categorías de color, rangos de longitud y vocabulario técnico uniforme, a fin de asegurar consistencia en toda la base de datos.</w:t>
      </w:r>
    </w:p>
    <w:p>
      <w:pPr>
        <w:pStyle w:val="Heading2"/>
      </w:pPr>
      <w:r>
        <w:t>6.2 Fase 2. Levantamiento de información de campo</w:t>
      </w:r>
    </w:p>
    <w:p>
      <w:pPr>
        <w:jc w:val="both"/>
      </w:pPr>
      <w:r>
        <w:t>Los estudiantes realizarán salidas de observación y registro en espacios urbanos seleccionados. Para cada especie se recopilará información sobre hábito, estructuras diagnósticas, estado fenológico, presencia de exudado, uso ornamental y ubicación general. De manera paralela se obtendrán fotografías estandarizadas de planta completa, hojas, flores, frutos, semillas, tallo o corteza y otros rasgos útiles para la comparación visual.</w:t>
      </w:r>
    </w:p>
    <w:p>
      <w:pPr>
        <w:pStyle w:val="Heading2"/>
      </w:pPr>
      <w:r>
        <w:t>6.3 Fase 3. Validación taxonómica y organización de datos</w:t>
      </w:r>
    </w:p>
    <w:p>
      <w:pPr>
        <w:jc w:val="both"/>
      </w:pPr>
      <w:r>
        <w:t>La información de campo será revisada y depurada en gabinete. Se corroborará la identificación científica de cada especie, se ordenarán las imágenes, se completarán los caracteres faltantes y se homogenizarán los registros en una base de datos estructurada. Esta fase es decisiva para evitar errores de nomenclatura, duplicidades o descripciones inconsistentes.</w:t>
      </w:r>
    </w:p>
    <w:p>
      <w:pPr>
        <w:pStyle w:val="Heading2"/>
      </w:pPr>
      <w:r>
        <w:t>6.4 Fase 4. Elaboración de fichas técnicas</w:t>
      </w:r>
    </w:p>
    <w:p>
      <w:pPr>
        <w:jc w:val="both"/>
      </w:pPr>
      <w:r>
        <w:t>Cada especie contará con una ficha técnica que incluirá al menos: nombre científico, familia, nombres comunes, hábito, origen, descripción morfológica básica, caracteres diagnósticos, tipo de flor e inflorescencia, tipo de fruto e infrutescencia, tipo de semilla, tipo y color de exudado, valor ornamental, usos urbanos y galería fotográfica. La redacción deberá ser clara, precisa y útil tanto para fines académicos como de consulta pública.</w:t>
      </w:r>
    </w:p>
    <w:p>
      <w:pPr>
        <w:pStyle w:val="Heading2"/>
      </w:pPr>
      <w:r>
        <w:t>6.5 Fase 5. Construcción y prueba del catálogo</w:t>
      </w:r>
    </w:p>
    <w:p>
      <w:pPr>
        <w:jc w:val="both"/>
      </w:pPr>
      <w:r>
        <w:t>La información validada será incorporada a la plataforma digital definida para el proyecto. Se probará el funcionamiento del buscador morfológico, la visualización de especies similares y la apertura de fichas técnicas. Posteriormente se realizará una validación básica con estudiantes y usuarios cercanos para identificar mejoras en usabilidad, claridad y exactitud de resultados.</w:t>
      </w:r>
    </w:p>
    <w:p>
      <w:pPr>
        <w:pStyle w:val="Heading1"/>
      </w:pPr>
      <w:r>
        <w:t>7. Organización y responsabilidades</w:t>
      </w:r>
    </w:p>
    <w:p>
      <w:pPr>
        <w:jc w:val="both"/>
      </w:pPr>
      <w:r>
        <w:t>El proyecto se desarrollará mediante trabajo colaborativo por equipos funcionales. Se recomienda distribuir las tareas de la siguiente manera: equipo de registro de campo; equipo de taxonomía y validación; equipo de morfología aplicada; equipo de contenido técnico; equipo de fotografía y banco de imágenes; y equipo de soporte digital y revisión final. El docente del curso asumirá la coordinación general, la validación académica y el control de calidad del producto.</w:t>
      </w:r>
    </w:p>
    <w:p>
      <w:pPr>
        <w:jc w:val="both"/>
      </w:pPr>
    </w:p>
    <w:p>
      <w:pPr>
        <w:jc w:val="both"/>
      </w:pPr>
      <w:r>
        <w:t>Cada estudiante deberá responsabilizarse de un conjunto definido de especies o de funciones específicas dentro del proceso. La evaluación considerará tanto el aporte individual como la capacidad de integración con el trabajo colectivo.</w:t>
      </w:r>
    </w:p>
    <w:p>
      <w:pPr>
        <w:pStyle w:val="Heading1"/>
      </w:pPr>
      <w:r>
        <w:t>8. Productos esperados</w:t>
      </w:r>
    </w:p>
    <w:p>
      <w:pPr>
        <w:jc w:val="both"/>
      </w:pPr>
      <w:r>
        <w:t>• Catálogo virtual funcional de flora ornamental de Iquitos.</w:t>
      </w:r>
    </w:p>
    <w:p>
      <w:pPr>
        <w:jc w:val="both"/>
      </w:pPr>
      <w:r>
        <w:t>• Base de datos estructurada de especies y caracteres morfológicos.</w:t>
      </w:r>
    </w:p>
    <w:p>
      <w:pPr>
        <w:jc w:val="both"/>
      </w:pPr>
      <w:r>
        <w:t>• Banco fotográfico comparativo organizado por especie.</w:t>
      </w:r>
    </w:p>
    <w:p>
      <w:pPr>
        <w:jc w:val="both"/>
      </w:pPr>
      <w:r>
        <w:t>• Fichas técnicas estandarizadas.</w:t>
      </w:r>
    </w:p>
    <w:p>
      <w:pPr>
        <w:jc w:val="both"/>
      </w:pPr>
      <w:r>
        <w:t>• Informe académico final del proyecto.</w:t>
      </w:r>
    </w:p>
    <w:p>
      <w:pPr>
        <w:jc w:val="both"/>
      </w:pPr>
      <w:r>
        <w:t>• Material de socialización para actividades de extensión y educación ambiental.</w:t>
      </w:r>
    </w:p>
    <w:p>
      <w:pPr>
        <w:pStyle w:val="Heading1"/>
      </w:pPr>
      <w:r>
        <w:t>9. Indicadores de cumplimiento</w:t>
      </w:r>
    </w:p>
    <w:p>
      <w:pPr>
        <w:jc w:val="both"/>
      </w:pPr>
      <w:r>
        <w:t>Para evaluar el avance del proyecto se considerarán indicadores como: número de especies documentadas y validadas; porcentaje de fichas completas; número de registros fotográficos utilizables por especie; consistencia de la base de datos; funcionamiento operativo del buscador morfológico; y número de usuarios o actores institucionales sensibilizados mediante la presentación del catálogo.</w:t>
      </w:r>
    </w:p>
    <w:p>
      <w:pPr>
        <w:pStyle w:val="Heading1"/>
      </w:pPr>
      <w:r>
        <w:t>10. Estrategia de responsabilidad social universitaria</w:t>
      </w:r>
    </w:p>
    <w:p>
      <w:pPr>
        <w:jc w:val="both"/>
      </w:pPr>
      <w:r>
        <w:t>El proyecto responde al principio de que la universidad no solo forma profesionales, sino que también debe producir bienes públicos útiles para su entorno. En este caso, el curso de Botánica Sistemática contribuirá con un recurso práctico para la ciudad, fortaleciendo educación ambiental, valoración de la flora ornamental, uso de especies apropiadas y apropiación social del conocimiento botánico.</w:t>
      </w:r>
    </w:p>
    <w:p>
      <w:pPr>
        <w:jc w:val="both"/>
      </w:pPr>
    </w:p>
    <w:p>
      <w:pPr>
        <w:jc w:val="both"/>
      </w:pPr>
      <w:r>
        <w:t>La actividad de RSU se expresa en tres dimensiones: formación del estudiante con compromiso social; generación de un producto de utilidad pública; y articulación potencial con actores externos, especialmente instituciones educativas, municipalidades y organizaciones interesadas en el arbolado y el paisajismo urbano.</w:t>
      </w:r>
    </w:p>
    <w:p>
      <w:pPr>
        <w:pStyle w:val="Heading1"/>
      </w:pPr>
      <w:r>
        <w:t>11. Riesgos previsibles y medidas de control</w:t>
      </w:r>
    </w:p>
    <w:p>
      <w:pPr>
        <w:jc w:val="both"/>
      </w:pPr>
      <w:r>
        <w:t>Entre los principales riesgos se consideran: dificultad para registrar estructuras reproductivas en ciertas especies, errores de identificación, fotografías de baja calidad, inconsistencias en la redacción técnica y retrasos en la consolidación de la base de datos. Para mitigar estos riesgos se recomienda planificar el trabajo por etapas, usar listas de verificación, establecer revisiones intermedias obligatorias y centralizar la validación final bajo supervisión docente.</w:t>
      </w:r>
    </w:p>
    <w:p>
      <w:pPr>
        <w:pStyle w:val="Heading1"/>
      </w:pPr>
      <w:r>
        <w:t>12. Cronograma referencial</w:t>
      </w:r>
    </w:p>
    <w:p>
      <w:r>
        <w:t>Se propone el siguiente cronograma general para una ejecución semestral:</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fill="DCEBDD"/>
            <w:tcMar>
              <w:top w:w="90" w:type="dxa"/>
              <w:start w:w="120" w:type="dxa"/>
              <w:bottom w:w="90" w:type="dxa"/>
              <w:end w:w="120" w:type="dxa"/>
            </w:tcMar>
            <w:vAlign w:val="center"/>
          </w:tcPr>
          <w:p>
            <w:pPr>
              <w:jc w:val="center"/>
            </w:pPr>
            <w:r>
              <w:rPr>
                <w:b/>
              </w:rPr>
              <w:t>Fase / actividad</w:t>
            </w:r>
          </w:p>
        </w:tc>
        <w:tc>
          <w:tcPr>
            <w:tcW w:type="dxa" w:w="1904"/>
            <w:shd w:fill="DCEBDD"/>
            <w:tcMar>
              <w:top w:w="90" w:type="dxa"/>
              <w:start w:w="120" w:type="dxa"/>
              <w:bottom w:w="90" w:type="dxa"/>
              <w:end w:w="120" w:type="dxa"/>
            </w:tcMar>
            <w:vAlign w:val="center"/>
          </w:tcPr>
          <w:p>
            <w:pPr>
              <w:jc w:val="center"/>
            </w:pPr>
            <w:r>
              <w:rPr>
                <w:b/>
              </w:rPr>
              <w:t>Sem. 1–3</w:t>
            </w:r>
          </w:p>
        </w:tc>
        <w:tc>
          <w:tcPr>
            <w:tcW w:type="dxa" w:w="1904"/>
            <w:shd w:fill="DCEBDD"/>
            <w:tcMar>
              <w:top w:w="90" w:type="dxa"/>
              <w:start w:w="120" w:type="dxa"/>
              <w:bottom w:w="90" w:type="dxa"/>
              <w:end w:w="120" w:type="dxa"/>
            </w:tcMar>
            <w:vAlign w:val="center"/>
          </w:tcPr>
          <w:p>
            <w:pPr>
              <w:jc w:val="center"/>
            </w:pPr>
            <w:r>
              <w:rPr>
                <w:b/>
              </w:rPr>
              <w:t>Sem. 4–6</w:t>
            </w:r>
          </w:p>
        </w:tc>
        <w:tc>
          <w:tcPr>
            <w:tcW w:type="dxa" w:w="1904"/>
            <w:shd w:fill="DCEBDD"/>
            <w:tcMar>
              <w:top w:w="90" w:type="dxa"/>
              <w:start w:w="120" w:type="dxa"/>
              <w:bottom w:w="90" w:type="dxa"/>
              <w:end w:w="120" w:type="dxa"/>
            </w:tcMar>
            <w:vAlign w:val="center"/>
          </w:tcPr>
          <w:p>
            <w:pPr>
              <w:jc w:val="center"/>
            </w:pPr>
            <w:r>
              <w:rPr>
                <w:b/>
              </w:rPr>
              <w:t>Sem. 7–10</w:t>
            </w:r>
          </w:p>
        </w:tc>
        <w:tc>
          <w:tcPr>
            <w:tcW w:type="dxa" w:w="1904"/>
            <w:shd w:fill="DCEBDD"/>
            <w:tcMar>
              <w:top w:w="90" w:type="dxa"/>
              <w:start w:w="120" w:type="dxa"/>
              <w:bottom w:w="90" w:type="dxa"/>
              <w:end w:w="120" w:type="dxa"/>
            </w:tcMar>
            <w:vAlign w:val="center"/>
          </w:tcPr>
          <w:p>
            <w:pPr>
              <w:jc w:val="center"/>
            </w:pPr>
            <w:r>
              <w:rPr>
                <w:b/>
              </w:rPr>
              <w:t>Sem. 11–16</w:t>
            </w:r>
          </w:p>
        </w:tc>
      </w:tr>
      <w:tr>
        <w:tc>
          <w:tcPr>
            <w:tcW w:type="dxa" w:w="1904"/>
            <w:tcMar>
              <w:top w:w="90" w:type="dxa"/>
              <w:start w:w="120" w:type="dxa"/>
              <w:bottom w:w="90" w:type="dxa"/>
              <w:end w:w="120" w:type="dxa"/>
            </w:tcMar>
            <w:vAlign w:val="center"/>
          </w:tcPr>
          <w:p>
            <w:pPr>
              <w:jc w:val="left"/>
            </w:pPr>
            <w:r>
              <w:t>Planificación y estandarización</w:t>
            </w:r>
          </w:p>
        </w:tc>
        <w:tc>
          <w:tcPr>
            <w:tcW w:type="dxa" w:w="1904"/>
            <w:tcMar>
              <w:top w:w="90" w:type="dxa"/>
              <w:start w:w="120" w:type="dxa"/>
              <w:bottom w:w="90" w:type="dxa"/>
              <w:end w:w="120" w:type="dxa"/>
            </w:tcMar>
            <w:vAlign w:val="center"/>
          </w:tcPr>
          <w:p>
            <w:pPr>
              <w:jc w:val="center"/>
            </w:pPr>
            <w:r>
              <w:t>X</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r>
      <w:tr>
        <w:tc>
          <w:tcPr>
            <w:tcW w:type="dxa" w:w="1904"/>
            <w:tcMar>
              <w:top w:w="90" w:type="dxa"/>
              <w:start w:w="120" w:type="dxa"/>
              <w:bottom w:w="90" w:type="dxa"/>
              <w:end w:w="120" w:type="dxa"/>
            </w:tcMar>
            <w:vAlign w:val="center"/>
          </w:tcPr>
          <w:p>
            <w:pPr>
              <w:jc w:val="left"/>
            </w:pPr>
            <w:r>
              <w:t>Levantamiento de información de campo</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t>X</w:t>
            </w:r>
          </w:p>
        </w:tc>
        <w:tc>
          <w:tcPr>
            <w:tcW w:type="dxa" w:w="1904"/>
            <w:tcMar>
              <w:top w:w="90" w:type="dxa"/>
              <w:start w:w="120" w:type="dxa"/>
              <w:bottom w:w="90" w:type="dxa"/>
              <w:end w:w="120" w:type="dxa"/>
            </w:tcMar>
            <w:vAlign w:val="center"/>
          </w:tcPr>
          <w:p>
            <w:pPr>
              <w:jc w:val="center"/>
            </w:pPr>
            <w:r>
              <w:t>X</w:t>
            </w:r>
          </w:p>
        </w:tc>
        <w:tc>
          <w:tcPr>
            <w:tcW w:type="dxa" w:w="1904"/>
            <w:tcMar>
              <w:top w:w="90" w:type="dxa"/>
              <w:start w:w="120" w:type="dxa"/>
              <w:bottom w:w="90" w:type="dxa"/>
              <w:end w:w="120" w:type="dxa"/>
            </w:tcMar>
            <w:vAlign w:val="center"/>
          </w:tcPr>
          <w:p>
            <w:pPr>
              <w:jc w:val="center"/>
            </w:pPr>
            <w:r/>
          </w:p>
        </w:tc>
      </w:tr>
      <w:tr>
        <w:tc>
          <w:tcPr>
            <w:tcW w:type="dxa" w:w="1904"/>
            <w:tcMar>
              <w:top w:w="90" w:type="dxa"/>
              <w:start w:w="120" w:type="dxa"/>
              <w:bottom w:w="90" w:type="dxa"/>
              <w:end w:w="120" w:type="dxa"/>
            </w:tcMar>
            <w:vAlign w:val="center"/>
          </w:tcPr>
          <w:p>
            <w:pPr>
              <w:jc w:val="left"/>
            </w:pPr>
            <w:r>
              <w:t>Validación taxonómica y depuración</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t>X</w:t>
            </w:r>
          </w:p>
        </w:tc>
        <w:tc>
          <w:tcPr>
            <w:tcW w:type="dxa" w:w="1904"/>
            <w:tcMar>
              <w:top w:w="90" w:type="dxa"/>
              <w:start w:w="120" w:type="dxa"/>
              <w:bottom w:w="90" w:type="dxa"/>
              <w:end w:w="120" w:type="dxa"/>
            </w:tcMar>
            <w:vAlign w:val="center"/>
          </w:tcPr>
          <w:p>
            <w:pPr>
              <w:jc w:val="center"/>
            </w:pPr>
            <w:r>
              <w:t>X</w:t>
            </w:r>
          </w:p>
        </w:tc>
      </w:tr>
      <w:tr>
        <w:tc>
          <w:tcPr>
            <w:tcW w:type="dxa" w:w="1904"/>
            <w:tcMar>
              <w:top w:w="90" w:type="dxa"/>
              <w:start w:w="120" w:type="dxa"/>
              <w:bottom w:w="90" w:type="dxa"/>
              <w:end w:w="120" w:type="dxa"/>
            </w:tcMar>
            <w:vAlign w:val="center"/>
          </w:tcPr>
          <w:p>
            <w:pPr>
              <w:jc w:val="left"/>
            </w:pPr>
            <w:r>
              <w:t>Elaboración de fichas técnicas</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t>X</w:t>
            </w:r>
          </w:p>
        </w:tc>
        <w:tc>
          <w:tcPr>
            <w:tcW w:type="dxa" w:w="1904"/>
            <w:tcMar>
              <w:top w:w="90" w:type="dxa"/>
              <w:start w:w="120" w:type="dxa"/>
              <w:bottom w:w="90" w:type="dxa"/>
              <w:end w:w="120" w:type="dxa"/>
            </w:tcMar>
            <w:vAlign w:val="center"/>
          </w:tcPr>
          <w:p>
            <w:pPr>
              <w:jc w:val="center"/>
            </w:pPr>
            <w:r>
              <w:t>X</w:t>
            </w:r>
          </w:p>
        </w:tc>
      </w:tr>
      <w:tr>
        <w:tc>
          <w:tcPr>
            <w:tcW w:type="dxa" w:w="1904"/>
            <w:tcMar>
              <w:top w:w="90" w:type="dxa"/>
              <w:start w:w="120" w:type="dxa"/>
              <w:bottom w:w="90" w:type="dxa"/>
              <w:end w:w="120" w:type="dxa"/>
            </w:tcMar>
            <w:vAlign w:val="center"/>
          </w:tcPr>
          <w:p>
            <w:pPr>
              <w:jc w:val="left"/>
            </w:pPr>
            <w:r>
              <w:t>Construcción y prueba del catálogo</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t>X</w:t>
            </w:r>
          </w:p>
        </w:tc>
      </w:tr>
      <w:tr>
        <w:tc>
          <w:tcPr>
            <w:tcW w:type="dxa" w:w="1904"/>
            <w:tcMar>
              <w:top w:w="90" w:type="dxa"/>
              <w:start w:w="120" w:type="dxa"/>
              <w:bottom w:w="90" w:type="dxa"/>
              <w:end w:w="120" w:type="dxa"/>
            </w:tcMar>
            <w:vAlign w:val="center"/>
          </w:tcPr>
          <w:p>
            <w:pPr>
              <w:jc w:val="left"/>
            </w:pPr>
            <w:r>
              <w:t>Socialización y cierre</w:t>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p>
        </w:tc>
        <w:tc>
          <w:tcPr>
            <w:tcW w:type="dxa" w:w="1904"/>
            <w:tcMar>
              <w:top w:w="90" w:type="dxa"/>
              <w:start w:w="120" w:type="dxa"/>
              <w:bottom w:w="90" w:type="dxa"/>
              <w:end w:w="120" w:type="dxa"/>
            </w:tcMar>
            <w:vAlign w:val="center"/>
          </w:tcPr>
          <w:p>
            <w:pPr>
              <w:jc w:val="center"/>
            </w:pPr>
            <w:r>
              <w:t>X</w:t>
            </w:r>
          </w:p>
        </w:tc>
      </w:tr>
    </w:tbl>
    <w:p>
      <w:pPr>
        <w:pStyle w:val="Heading1"/>
      </w:pPr>
      <w:r>
        <w:t>13. Criterios de evaluación del trabajo estudiantil</w:t>
      </w:r>
    </w:p>
    <w:p>
      <w:pPr>
        <w:jc w:val="both"/>
      </w:pPr>
      <w:r>
        <w:t>La evaluación del proyecto deberá contemplar calidad técnica y no solo cumplimiento formal. Se recomienda valorar la precisión en la identificación botánica, la consistencia morfológica de los registros, la calidad fotográfica, la claridad de redacción, el orden del banco de imágenes, la capacidad de trabajo en equipo y el aporte efectivo al producto final.</w:t>
      </w:r>
    </w:p>
    <w:p>
      <w:pPr>
        <w:jc w:val="both"/>
      </w:pPr>
    </w:p>
    <w:p>
      <w:pPr>
        <w:jc w:val="both"/>
      </w:pPr>
      <w:r>
        <w:t>Como criterio mínimo de desempeño, cada estudiante o grupo deberá entregar especies completas y validadas, con su respectiva ficha técnica, juego de imágenes y registro de caracteres normalizados.</w:t>
      </w:r>
    </w:p>
    <w:p>
      <w:pPr>
        <w:pStyle w:val="Heading1"/>
      </w:pPr>
      <w:r>
        <w:t>14. Sostenibilidad y proyección</w:t>
      </w:r>
    </w:p>
    <w:p>
      <w:pPr>
        <w:jc w:val="both"/>
      </w:pPr>
      <w:r>
        <w:t>El catálogo deberá concebirse como un producto escalable. La primera versión podrá funcionar como piloto, pero la estructura de base de datos, la ficha técnica y el sistema de búsqueda deben diseñarse de tal forma que permitan incorporar nuevas especies, nuevos estudiantes y futuras cohortes del curso. Esto facilitará consolidar, con el tiempo, una herramienta cada vez más robusta para la flora ornamental de Iquitos y, eventualmente, para otras ciudades amazónicas.</w:t>
      </w:r>
    </w:p>
    <w:p>
      <w:pPr>
        <w:pStyle w:val="Heading1"/>
      </w:pPr>
      <w:r>
        <w:t>15. Conclusión</w:t>
      </w:r>
    </w:p>
    <w:p>
      <w:pPr>
        <w:jc w:val="both"/>
      </w:pPr>
      <w:r>
        <w:t>Este plan propone una actividad académica con sentido práctico y proyección pública. El curso de Botánica Sistemática no solo fortalecerá competencias disciplinares, sino que además producirá un recurso digital útil para la ciudad. En consecuencia, el proyecto articula formación, investigación aplicada, innovación sencilla y compromiso social universitario en una sola intervención concreta.</w:t>
      </w:r>
    </w:p>
    <w:sectPr w:rsidR="00FC693F" w:rsidRPr="0006063C" w:rsidSect="00034616">
      <w:footerReference w:type="default" r:id="rId9"/>
      <w:pgSz w:w="12240" w:h="15840"/>
      <w:pgMar w:top="1247" w:right="130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8"/>
      </w:rPr>
      <w:t>Plan del proyecto – Catálogo virtual de flora ornamental de Iquitos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456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F5F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456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