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assunto AS ASSUNTO, ano AS ANO, count(assunto) AS QUANTIDADE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atendimentos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assunto, ano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COUNT(assunto) &gt; 3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ano DESC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34830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8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