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Convenzione degli identificativi del dato strutturato</w:t>
      </w:r>
    </w:p>
    <w:p>
      <w:pPr/>
      <w:r>
        <w:t xml:space="preserve">Oct 20, 2026</w:t>
      </w:r>
      <w:r>
        <w:t xml:space="preserve"> · </w:t>
      </w:r>
      <w:r>
        <w:t xml:space="preserve">@Danilo Bernabeo</w:t>
      </w:r>
    </w:p>
    <w:p>
      <w:pPr/>
      <w:r>
        <w:t xml:space="preserve">Ogni entità descritta nel dato strutturato di kosgroup.com e anniazzurri.it ha un identificativo (</w:t>
      </w:r>
      <w:r>
        <w:rPr>
          <w:rStyle w:val="CodeChar"/>
        </w:rPr>
        <w:t xml:space="preserve">@id</w:t>
      </w:r>
      <w:r>
        <w:t xml:space="preserve">) formato dall'URL canonico della pagina che la descrive più un frammento fisso per tipo di entità. La convenzione vale per entrambi i siti ed è già applicata su anniazzurri.it dal 20 ottobre 2026.</w:t>
      </w:r>
    </w:p>
    <w:p>
      <w:pPr>
        <w:pStyle w:val="Heading2"/>
      </w:pPr>
      <w:r>
        <w:t xml:space="preserve">Regole</w:t>
      </w:r>
    </w:p>
    <w:p>
      <w:pPr/>
      <w:r>
        <w:t xml:space="preserve">Un'entità ha un solo </w:t>
      </w:r>
      <w:r>
        <w:rPr>
          <w:rStyle w:val="CodeChar"/>
        </w:rPr>
        <w:t xml:space="preserve">@id</w:t>
      </w:r>
      <w:r>
        <w:t xml:space="preserve">, e tutte le pagine che la citano usano quello invece di descriverla di nuovo.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Forma</w:t>
      </w:r>
      <w:r>
        <w:t xml:space="preserve">: URL canonico della pagina che descrive l'entità + frammento fisso del tipo (</w:t>
      </w:r>
      <w:r>
        <w:rPr>
          <w:rStyle w:val="CodeChar"/>
        </w:rPr>
        <w:t xml:space="preserve">#organization</w:t>
      </w:r>
      <w:r>
        <w:t xml:space="preserve">, </w:t>
      </w:r>
      <w:r>
        <w:rPr>
          <w:rStyle w:val="CodeChar"/>
        </w:rPr>
        <w:t xml:space="preserve">#localbusiness</w:t>
      </w:r>
      <w:r>
        <w:t xml:space="preserve">...).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Generato dal codice</w:t>
      </w:r>
      <w:r>
        <w:t xml:space="preserve">, mai scritto a mano nei contenuti o nei chunk: una sola funzione per sito costruisce tutti gli identificativi.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Basato sugli indirizzi del sito</w:t>
      </w:r>
      <w:r>
        <w:t xml:space="preserve">, non sui codici di Yext o RetailTune: resta lo stesso quando cambia la piattaforma dei dati anagrafici.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Un solo </w:t>
      </w:r>
      <w:r>
        <w:rPr>
          <w:rStyle w:val="CodeChar"/>
          <w:b/>
        </w:rPr>
        <w:t xml:space="preserve">@graph</w:t>
      </w:r>
      <w:r>
        <w:rPr>
          <w:b/>
        </w:rPr>
        <w:t xml:space="preserve"> JSON-LD per pagina</w:t>
      </w:r>
      <w:r>
        <w:t xml:space="preserve">, emesso lato server, così i crawler che non eseguono JavaScript lo leggono intero.</w:t>
      </w:r>
    </w:p>
    <w:p>
      <w:pPr>
        <w:pStyle w:val="Heading2"/>
      </w:pPr>
      <w:r>
        <w:t xml:space="preserve">Forma canonica dei domini</w:t>
      </w:r>
    </w:p>
    <w:p>
      <w:pPr/>
      <w:r>
        <w:t xml:space="preserve">Gli identificativi usano sempre la forma del dominio verso cui puntano canonical, sitemap e redirect, verificata il 15 ottobre 2026.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9"/>
        <w:gridCol w:w="2876"/>
        <w:gridCol w:w="4814"/>
      </w:tblGrid>
      <w:tr>
        <w:trPr>
          <w:tblHeader/>
        </w:trPr>
        <w:tc>
          <w:tcPr>
            <w:tcW w:w="1669" w:type="dxa"/>
            <w:shd w:val="clear" w:color="auto" w:fill="F2F2F2"/>
          </w:tcPr>
          <w:p>
            <w:pPr/>
            <w:r>
              <w:t xml:space="preserve">Sito</w:t>
            </w:r>
          </w:p>
        </w:tc>
        <w:tc>
          <w:tcPr>
            <w:tcW w:w="2876" w:type="dxa"/>
            <w:shd w:val="clear" w:color="auto" w:fill="F2F2F2"/>
          </w:tcPr>
          <w:p>
            <w:pPr/>
            <w:r>
              <w:t xml:space="preserve">Base</w:t>
            </w:r>
          </w:p>
        </w:tc>
        <w:tc>
          <w:tcPr>
            <w:tcW w:w="4814" w:type="dxa"/>
            <w:shd w:val="clear" w:color="auto" w:fill="F2F2F2"/>
          </w:tcPr>
          <w:p>
            <w:pPr/>
            <w:r>
              <w:t xml:space="preserve">Regola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anniazzurri.it</w:t>
            </w:r>
          </w:p>
        </w:tc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https://anniazzurri.it</w:t>
            </w:r>
          </w:p>
        </w:tc>
        <w:tc>
          <w:tcPr>
            <w:tcW w:w="4814" w:type="dxa"/>
          </w:tcPr>
          <w:p>
            <w:pPr/>
            <w:r>
              <w:t xml:space="preserve">senza www; slash finale solo sulla home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kosgroup.com</w:t>
            </w:r>
          </w:p>
        </w:tc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https://kosgroup.com</w:t>
            </w:r>
          </w:p>
        </w:tc>
        <w:tc>
          <w:tcPr>
            <w:tcW w:w="4814" w:type="dxa"/>
          </w:tcPr>
          <w:p>
            <w:pPr/>
            <w:r>
              <w:t xml:space="preserve">senza www; pagine sotto </w:t>
            </w:r>
            <w:r>
              <w:rPr>
                <w:rStyle w:val="CodeChar"/>
              </w:rPr>
              <w:t xml:space="preserve">/it</w:t>
            </w:r>
            <w:r>
              <w:t xml:space="preserve"> (italiano) e </w:t>
            </w:r>
            <w:r>
              <w:rPr>
                <w:rStyle w:val="CodeChar"/>
              </w:rPr>
              <w:t xml:space="preserve">/en</w:t>
            </w:r>
            <w:r>
              <w:t xml:space="preserve"> (inglese); l'ente resta alla radice</w:t>
            </w:r>
          </w:p>
        </w:tc>
      </w:tr>
    </w:tbl>
    <w:p>
      <w:pPr>
        <w:pStyle w:val="Heading2"/>
      </w:pPr>
      <w:r>
        <w:t xml:space="preserve">Identificativi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9"/>
        <w:gridCol w:w="2340"/>
        <w:gridCol w:w="2340"/>
        <w:gridCol w:w="3011"/>
      </w:tblGrid>
      <w:tr>
        <w:trPr>
          <w:tblHeader/>
        </w:trPr>
        <w:tc>
          <w:tcPr>
            <w:tcW w:w="1669" w:type="dxa"/>
            <w:shd w:val="clear" w:color="auto" w:fill="F2F2F2"/>
          </w:tcPr>
          <w:p>
            <w:pPr/>
            <w:r>
              <w:t xml:space="preserve">Entità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Tipo schema.org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@id</w:t>
            </w:r>
          </w:p>
        </w:tc>
        <w:tc>
          <w:tcPr>
            <w:tcW w:w="3011" w:type="dxa"/>
            <w:shd w:val="clear" w:color="auto" w:fill="F2F2F2"/>
          </w:tcPr>
          <w:p>
            <w:pPr/>
            <w:r>
              <w:t xml:space="preserve">Esempio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Ente anniazzurri.it (KOS Care S.r.l.)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Organization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{base}/#organization</w:t>
            </w:r>
          </w:p>
        </w:tc>
        <w:tc>
          <w:tcPr>
            <w:tcW w:w="3011" w:type="dxa"/>
          </w:tcPr>
          <w:p>
            <w:pPr/>
            <w:r>
              <w:rPr>
                <w:rStyle w:val="CodeChar"/>
              </w:rPr>
              <w:t xml:space="preserve">https://anniazzurri.it/#organization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Ente kosgroup.com (KOS S.p.A.)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Organization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{base}/#organization</w:t>
            </w:r>
          </w:p>
        </w:tc>
        <w:tc>
          <w:tcPr>
            <w:tcW w:w="3011" w:type="dxa"/>
          </w:tcPr>
          <w:p>
            <w:pPr/>
            <w:r>
              <w:rPr>
                <w:rStyle w:val="CodeChar"/>
              </w:rPr>
              <w:t xml:space="preserve">https://kosgroup.com/#organization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Sito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WebSite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{base}/#website</w:t>
            </w:r>
          </w:p>
        </w:tc>
        <w:tc>
          <w:tcPr>
            <w:tcW w:w="3011" w:type="dxa"/>
          </w:tcPr>
          <w:p>
            <w:pPr/>
            <w:r>
              <w:rPr>
                <w:rStyle w:val="CodeChar"/>
              </w:rPr>
              <w:t xml:space="preserve">https://anniazzurri.it/#website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Pagina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WebPage</w:t>
            </w:r>
            <w:r>
              <w:t xml:space="preserve"> e sottotipi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{URL}#webpage</w:t>
            </w:r>
          </w:p>
        </w:tc>
        <w:tc>
          <w:tcPr>
            <w:tcW w:w="3011" w:type="dxa"/>
          </w:tcPr>
          <w:p>
            <w:pPr/>
            <w:r>
              <w:rPr>
                <w:rStyle w:val="CodeChar"/>
              </w:rPr>
              <w:t xml:space="preserve">https://anniazzurri.it/rsa-in-lombardia#webpage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Briciole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BreadcrumbList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{URL}#breadcrumb</w:t>
            </w:r>
          </w:p>
        </w:tc>
        <w:tc>
          <w:tcPr>
            <w:tcW w:w="3011" w:type="dxa"/>
          </w:tcPr>
          <w:p>
            <w:pPr/>
            <w:r>
              <w:rPr>
                <w:rStyle w:val="CodeChar"/>
              </w:rPr>
              <w:t xml:space="preserve">https://anniazzurri.it/residenza-anni-azzurri-vico-mercati#breadcrumb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Struttura o residenza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LocalBusiness</w:t>
            </w:r>
            <w:r>
              <w:t xml:space="preserve"> e sottotipi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{URL scheda}#localbusiness</w:t>
            </w:r>
          </w:p>
        </w:tc>
        <w:tc>
          <w:tcPr>
            <w:tcW w:w="3011" w:type="dxa"/>
          </w:tcPr>
          <w:p>
            <w:pPr/>
            <w:r>
              <w:rPr>
                <w:rStyle w:val="CodeChar"/>
              </w:rPr>
              <w:t xml:space="preserve">https://anniazzurri.it/residenza-anni-azzurri-navigli#localbusiness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Medico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IndividualPhysician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{URL scheda}#medico</w:t>
            </w:r>
          </w:p>
        </w:tc>
        <w:tc>
          <w:tcPr>
            <w:tcW w:w="3011" w:type="dxa"/>
          </w:tcPr>
          <w:p>
            <w:pPr/>
            <w:r>
              <w:rPr>
                <w:rStyle w:val="CodeChar"/>
              </w:rPr>
              <w:t xml:space="preserve">https://kosgroup.com/it/chi-siamo/qualita-delle-cure/medici/nome-cognome#medico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Articolo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Article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{URL}#article</w:t>
            </w:r>
          </w:p>
        </w:tc>
        <w:tc>
          <w:tcPr>
            <w:tcW w:w="3011" w:type="dxa"/>
          </w:tcPr>
          <w:p>
            <w:pPr/>
            <w:r>
              <w:rPr>
                <w:rStyle w:val="CodeChar"/>
              </w:rPr>
              <w:t xml:space="preserve">https://anniazzurri.it/come-vivono-gli-anziani-in-rsa#article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Autore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Person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{URL pagina autore}#person</w:t>
            </w:r>
          </w:p>
        </w:tc>
        <w:tc>
          <w:tcPr>
            <w:tcW w:w="3011" w:type="dxa"/>
          </w:tcPr>
          <w:p>
            <w:pPr/>
            <w:r>
              <w:rPr>
                <w:rStyle w:val="CodeChar"/>
              </w:rPr>
              <w:t xml:space="preserve">https://anniazzurri.it/autori/nome-cognome#person</w:t>
            </w:r>
          </w:p>
        </w:tc>
      </w:tr>
    </w:tbl>
    <w:p>
      <w:pPr/>
      <w:r>
        <w:t xml:space="preserve">Le strutture usano </w:t>
      </w:r>
      <w:r>
        <w:rPr>
          <w:rStyle w:val="CodeChar"/>
        </w:rPr>
        <w:t xml:space="preserve">#localbusiness</w:t>
      </w:r>
      <w:r>
        <w:t xml:space="preserve">, come indicato nelle slide 29-30 dell'audit Anni Azzurri. Il nodo struttura si emette solo se la pagina ha l'indirizzo. Tipi (deciso il 29 ottobre 2026):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Residenze</w:t>
      </w:r>
      <w:r>
        <w:t xml:space="preserve">: </w:t>
      </w:r>
      <w:r>
        <w:rPr>
          <w:rStyle w:val="CodeChar"/>
        </w:rPr>
        <w:t xml:space="preserve">["MedicalBusiness", "MedicalOrganization"]</w:t>
      </w:r>
      <w:r>
        <w:t xml:space="preserve"> con </w:t>
      </w:r>
      <w:r>
        <w:rPr>
          <w:rStyle w:val="CodeChar"/>
        </w:rPr>
        <w:t xml:space="preserve">medicalSpecialty</w:t>
      </w:r>
      <w:r>
        <w:t xml:space="preserve"> </w:t>
      </w:r>
      <w:r>
        <w:rPr>
          <w:rStyle w:val="CodeChar"/>
        </w:rPr>
        <w:t xml:space="preserve">Geriatric</w:t>
      </w:r>
      <w:r>
        <w:t xml:space="preserve">. Schema.org non ha un tipo per le case di riposo (</w:t>
      </w:r>
      <w:r>
        <w:rPr>
          <w:rStyle w:val="CodeChar"/>
        </w:rPr>
        <w:t xml:space="preserve">NursingHome</w:t>
      </w:r>
      <w:r>
        <w:t xml:space="preserve"> non esiste, verificato su schema.org 30.1): </w:t>
      </w:r>
      <w:r>
        <w:rPr>
          <w:rStyle w:val="CodeChar"/>
        </w:rPr>
        <w:t xml:space="preserve">MedicalBusiness</w:t>
      </w:r>
      <w:r>
        <w:t xml:space="preserve"> è un sottotipo di </w:t>
      </w:r>
      <w:r>
        <w:rPr>
          <w:rStyle w:val="CodeChar"/>
        </w:rPr>
        <w:t xml:space="preserve">LocalBusiness</w:t>
      </w:r>
      <w:r>
        <w:t xml:space="preserve">, come chiede l'audit Anni Azzurri (slide 30) e come richiede Google (il sottotipo più specifico), mentre </w:t>
      </w:r>
      <w:r>
        <w:rPr>
          <w:rStyle w:val="CodeChar"/>
        </w:rPr>
        <w:t xml:space="preserve">MedicalOrganization</w:t>
      </w:r>
      <w:r>
        <w:t xml:space="preserve"> porta la specialità. Le residenze solo socio-assistenziali restano </w:t>
      </w:r>
      <w:r>
        <w:rPr>
          <w:rStyle w:val="CodeChar"/>
        </w:rPr>
        <w:t xml:space="preserve">LocalBusiness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Cliniche, centri e ambulatori</w:t>
      </w:r>
      <w:r>
        <w:t xml:space="preserve">: il sottotipo sanitario più specifico (</w:t>
      </w:r>
      <w:r>
        <w:rPr>
          <w:rStyle w:val="CodeChar"/>
        </w:rPr>
        <w:t xml:space="preserve">MedicalClinic</w:t>
      </w:r>
      <w:r>
        <w:t xml:space="preserve">, </w:t>
      </w:r>
      <w:r>
        <w:rPr>
          <w:rStyle w:val="CodeChar"/>
        </w:rPr>
        <w:t xml:space="preserve">Hospital</w:t>
      </w:r>
      <w:r>
        <w:t xml:space="preserve">...); un tipo che non è un'attività locale (es. </w:t>
      </w:r>
      <w:r>
        <w:rPr>
          <w:rStyle w:val="CodeChar"/>
        </w:rPr>
        <w:t xml:space="preserve">DiagnosticLab</w:t>
      </w:r>
      <w:r>
        <w:t xml:space="preserve">) si affianca a </w:t>
      </w:r>
      <w:r>
        <w:rPr>
          <w:rStyle w:val="CodeChar"/>
        </w:rPr>
        <w:t xml:space="preserve">MedicalBusiness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Servizi senza sede propria</w:t>
      </w:r>
      <w:r>
        <w:t xml:space="preserve"> (RSA Aperta, assistenza domiciliare): </w:t>
      </w:r>
      <w:r>
        <w:rPr>
          <w:rStyle w:val="CodeChar"/>
        </w:rPr>
        <w:t xml:space="preserve">Service</w:t>
      </w:r>
      <w:r>
        <w:t xml:space="preserve"> con </w:t>
      </w:r>
      <w:r>
        <w:rPr>
          <w:rStyle w:val="CodeChar"/>
        </w:rPr>
        <w:t xml:space="preserve">provider</w:t>
      </w:r>
      <w:r>
        <w:t xml:space="preserve"> verso il </w:t>
      </w:r>
      <w:r>
        <w:rPr>
          <w:rStyle w:val="CodeChar"/>
        </w:rPr>
        <w:t xml:space="preserve">#localbusiness</w:t>
      </w:r>
      <w:r>
        <w:t xml:space="preserve"> della struttura che li eroga.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Medici</w:t>
      </w:r>
      <w:r>
        <w:t xml:space="preserve">: </w:t>
      </w:r>
      <w:r>
        <w:rPr>
          <w:rStyle w:val="CodeChar"/>
        </w:rPr>
        <w:t xml:space="preserve">IndividualPhysician</w:t>
      </w:r>
      <w:r>
        <w:t xml:space="preserve"> (sottotipo di </w:t>
      </w:r>
      <w:r>
        <w:rPr>
          <w:rStyle w:val="CodeChar"/>
        </w:rPr>
        <w:t xml:space="preserve">Physician</w:t>
      </w:r>
      <w:r>
        <w:t xml:space="preserve">, il tipo dell'esempio dell'audit KosGroup, slide 27) con </w:t>
      </w:r>
      <w:r>
        <w:rPr>
          <w:rStyle w:val="CodeChar"/>
        </w:rPr>
        <w:t xml:space="preserve">practicesAt</w:t>
      </w:r>
      <w:r>
        <w:t xml:space="preserve"> verso il </w:t>
      </w:r>
      <w:r>
        <w:rPr>
          <w:rStyle w:val="CodeChar"/>
        </w:rPr>
        <w:t xml:space="preserve">#localbusiness</w:t>
      </w:r>
      <w:r>
        <w:t xml:space="preserve"> della struttura; gli altri professionisti sanitari </w:t>
      </w:r>
      <w:r>
        <w:rPr>
          <w:rStyle w:val="CodeChar"/>
        </w:rPr>
        <w:t xml:space="preserve">Person</w:t>
      </w:r>
      <w:r>
        <w:t xml:space="preserve"> con </w:t>
      </w:r>
      <w:r>
        <w:rPr>
          <w:rStyle w:val="CodeChar"/>
        </w:rPr>
        <w:t xml:space="preserve">jobTitle</w:t>
      </w:r>
      <w:r>
        <w:t xml:space="preserve">.</w:t>
      </w:r>
    </w:p>
    <w:p>
      <w:pPr>
        <w:pStyle w:val="Heading2"/>
      </w:pPr>
      <w:r>
        <w:t xml:space="preserve">Relazioni</w:t>
      </w:r>
    </w:p>
    <w:p>
      <w:pPr/>
      <w:r>
        <w:drawing>
          <wp:inline distT="0" distB="0" distL="0" distR="0">
            <wp:extent cx="5486400" cy="4555671"/>
            <wp:docPr id="1" name="image1" descr="relazioni tra le entità · 9 entità, 8 richiami per @i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elazioni tra le entità · 9 entità, 8 richiami per @id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relazioni tra le entità · 9 entità, 8 richiami per @id</w:t>
      </w:r>
    </w:p>
    <w:p>
      <w:pPr/>
      <w:r>
        <w:t xml:space="preserve">Ogni freccia è un richiamo per </w:t>
      </w:r>
      <w:r>
        <w:rPr>
          <w:rStyle w:val="CodeChar"/>
        </w:rPr>
        <w:t xml:space="preserve">@id</w:t>
      </w:r>
      <w:r>
        <w:t xml:space="preserve">: l'entità richiamata è descritta una sola volta e le altre pagine la citano senza ripeterla. Tra KOS Care e KOS S.p.A. il legame è solo </w:t>
      </w:r>
      <w:r>
        <w:rPr>
          <w:rStyle w:val="CodeChar"/>
        </w:rPr>
        <w:t xml:space="preserve">parentOrganization</w:t>
      </w:r>
      <w:r>
        <w:t xml:space="preserve">, mai </w:t>
      </w:r>
      <w:r>
        <w:rPr>
          <w:rStyle w:val="CodeChar"/>
        </w:rPr>
        <w:t xml:space="preserve">sameAs</w:t>
      </w:r>
      <w:r>
        <w:t xml:space="preserve">, perché sono soggetti giuridici diversi.</w:t>
      </w:r>
    </w:p>
    <w:p>
      <w:pPr>
        <w:pStyle w:val="Heading2"/>
      </w:pPr>
      <w:r>
        <w:t xml:space="preserve">Pagine in più lingue (kosgroup.com)</w:t>
      </w:r>
    </w:p>
    <w:p>
      <w:pPr/>
      <w:r>
        <w:t xml:space="preserve">Un'entità è una sola in tutte le lingue: il suo </w:t>
      </w:r>
      <w:r>
        <w:rPr>
          <w:rStyle w:val="CodeChar"/>
        </w:rPr>
        <w:t xml:space="preserve">@id</w:t>
      </w:r>
      <w:r>
        <w:t xml:space="preserve"> si ancora sempre alla pagina italiana (</w:t>
      </w:r>
      <w:r>
        <w:rPr>
          <w:rStyle w:val="CodeChar"/>
        </w:rPr>
        <w:t xml:space="preserve">/it/...</w:t>
      </w:r>
      <w:r>
        <w:t xml:space="preserve">), e la pagina inglese equivalente richiama lo stesso </w:t>
      </w:r>
      <w:r>
        <w:rPr>
          <w:rStyle w:val="CodeChar"/>
        </w:rPr>
        <w:t xml:space="preserve">@id</w:t>
      </w:r>
      <w:r>
        <w:t xml:space="preserve">. La lingua è una proprietà della pagina (</w:t>
      </w:r>
      <w:r>
        <w:rPr>
          <w:rStyle w:val="CodeChar"/>
        </w:rPr>
        <w:t xml:space="preserve">inLanguage</w:t>
      </w:r>
      <w:r>
        <w:t xml:space="preserve">), non dell'entità.</w:t>
      </w:r>
    </w:p>
    <w:p>
      <w:pPr>
        <w:pStyle w:val="Heading2"/>
      </w:pPr>
      <w:r>
        <w:t xml:space="preserve">Esempio in produzione</w:t>
      </w:r>
    </w:p>
    <w:p>
      <w:pPr/>
      <w:r>
        <w:t xml:space="preserve">Il </w:t>
      </w:r>
      <w:r>
        <w:rPr>
          <w:rStyle w:val="CodeChar"/>
        </w:rPr>
        <w:t xml:space="preserve">@graph</w:t>
      </w:r>
      <w:r>
        <w:t xml:space="preserve"> di </w:t>
      </w:r>
      <w:hyperlink r:id="rId4" w:history="1">
        <w:r>
          <w:rPr>
            <w:rStyle w:val="Hyperlink"/>
          </w:rPr>
          <w:t xml:space="preserve">Residenza Anni Azzurri Vico Mercati</w:t>
        </w:r>
      </w:hyperlink>
      <w:r>
        <w:t xml:space="preserve">, validato con validator.schema.org (0 errori) e Rich Results Test (Breadcrumb e Organization validi). Le briciole corrispondono a quelle visibili e all'esempio della slide 35 dell'audit.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"@context": "https://schema.org",</w:t>
        <w:br/>
        <w:t xml:space="preserve">  "@graph": [</w:t>
        <w:br/>
        <w:t xml:space="preserve">    {</w:t>
        <w:br/>
        <w:t xml:space="preserve">      "@type": "WebPage",</w:t>
        <w:br/>
        <w:t xml:space="preserve">      "@id": "https://anniazzurri.it/residenza-anni-azzurri-vico-mercati#webpage",</w:t>
        <w:br/>
        <w:t xml:space="preserve">      "url": "https://anniazzurri.it/residenza-anni-azzurri-vico-mercati",</w:t>
        <w:br/>
        <w:t xml:space="preserve">      "isPartOf": { "@id": "https://anniazzurri.it/#website" },</w:t>
        <w:br/>
        <w:t xml:space="preserve">      "breadcrumb": { "@id": "https://anniazzurri.it/residenza-anni-azzurri-vico-mercati#breadcrumb" }</w:t>
        <w:br/>
        <w:t xml:space="preserve">    },</w:t>
        <w:br/>
        <w:t xml:space="preserve">    {</w:t>
        <w:br/>
        <w:t xml:space="preserve">      "@type": "BreadcrumbList",</w:t>
        <w:br/>
        <w:t xml:space="preserve">      "@id": "https://anniazzurri.it/residenza-anni-azzurri-vico-mercati#breadcrumb",</w:t>
        <w:br/>
        <w:t xml:space="preserve">      "itemListElement": [</w:t>
        <w:br/>
        <w:t xml:space="preserve">        { "@type": "ListItem", "position": 1, "name": "Anni Azzurri", "item": "https://anniazzurri.it/" },</w:t>
        <w:br/>
        <w:t xml:space="preserve">        { "@type": "ListItem", "position": 2, "name": "Le RSA in Lombardia", "item": "https://anniazzurri.it/rsa-in-lombardia" },</w:t>
        <w:br/>
        <w:t xml:space="preserve">        { "@type": "ListItem", "position": 3, "name": "RSA in provincia di Monza e Brianza", "item": "https://anniazzurri.it/rsa-in-provincia-di-monza-e-brianza" },</w:t>
        <w:br/>
        <w:t xml:space="preserve">        { "@type": "ListItem", "position": 4, "name": "Residenza Anni Azzurri Vico Mercati", "item": "https://anniazzurri.it/residenza-anni-azzurri-vico-mercati" }</w:t>
        <w:br/>
        <w:t xml:space="preserve">      ]</w:t>
        <w:br/>
        <w:t xml:space="preserve">    },</w:t>
        <w:br/>
        <w:t xml:space="preserve">    {</w:t>
        <w:br/>
        <w:t xml:space="preserve">      "@type": "WebSite",</w:t>
        <w:br/>
        <w:t xml:space="preserve">      "@id": "https://anniazzurri.it/#website",</w:t>
        <w:br/>
        <w:t xml:space="preserve">      "publisher": { "@id": "https://anniazzurri.it/#organization" }</w:t>
        <w:br/>
        <w:t xml:space="preserve">    },</w:t>
        <w:br/>
        <w:t xml:space="preserve">    {</w:t>
        <w:br/>
        <w:t xml:space="preserve">      "@type": "Organization",</w:t>
        <w:br/>
        <w:t xml:space="preserve">      "@id": "https://anniazzurri.it/#organization",</w:t>
        <w:br/>
        <w:t xml:space="preserve">      "name": "Anni Azzurri",</w:t>
        <w:br/>
        <w:t xml:space="preserve">      "legalName": "KOS Care S.r.l.",</w:t>
        <w:br/>
        <w:t xml:space="preserve">      "vatID": "IT01148190547",</w:t>
        <w:br/>
        <w:t xml:space="preserve">      "parentOrganization": {</w:t>
        <w:br/>
        <w:t xml:space="preserve">        "@id": "https://kosgroup.com/#organization",</w:t>
        <w:br/>
        <w:t xml:space="preserve">        "@type": "Organization",</w:t>
        <w:br/>
        <w:t xml:space="preserve">        "legalName": "KOS S.p.A.",</w:t>
        <w:br/>
        <w:t xml:space="preserve">        "vatID": "IT10674520159"</w:t>
        <w:br/>
        <w:t xml:space="preserve">      }</w:t>
        <w:br/>
        <w:t xml:space="preserve">    }</w:t>
        <w:br/>
        <w:t xml:space="preserve">  ]</w:t>
        <w:br/>
        <w:t xml:space="preserve">}</w:t>
      </w:r>
    </w:p>
    <w:p>
      <w:pPr/>
      <w:r>
        <w:t xml:space="preserve">Nell'esempio alcune proprietà (descrizione, logo, indirizzo, social) sono omesse per brevità.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anniazzurri.it/residenza-anni-azzurri-vico-mercati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Convenzione degli identificativi del dato strutturato</dc:title>
  <dc:description>Claude Docs node/46ba28c6-cb90@10 docx-w7</dc:description>
  <cp:revision>10</cp:revision>
</cp:coreProperties>
</file>