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 (esito: nessun elemento del progetto cambiato in produzione; baseline aggiornate con 23 elementi KOS e 21 AA cambiati o nuovi, segreti esclusi; regole web AA in</w:t>
            </w:r>
            <w:r>
              <w:t xml:space="preserve"> </w:t>
            </w:r>
            <w:r>
              <w:rPr>
                <w:rStyle w:val="VerbatimChar"/>
              </w:rPr>
              <w:t xml:space="preserve">anniazzurri/files/web-rules/produzione-2026-10-31.conf</w:t>
            </w:r>
            <w:r>
              <w:t xml:space="preserve">; manca la copia delle regole web KOS):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ora nel repository,</w:t>
            </w:r>
            <w:r>
              <w:t xml:space="preserve"> </w:t>
            </w:r>
            <w:r>
              <w:rPr>
                <w:rStyle w:val="VerbatimChar"/>
              </w:rPr>
              <w:t xml:space="preserve">scripts/collaudo/monitor/</w:t>
            </w:r>
            <w:r>
              <w:t xml:space="preserve"> </w:t>
            </w:r>
            <w:r>
              <w:t xml:space="preserve">(31/10):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Search Console 14/6/2025-23/10/2026, tabella</w:t>
      </w:r>
      <w:r>
        <w:t xml:space="preserve"> </w:t>
      </w:r>
      <w:r>
        <w:rPr>
          <w:rStyle w:val="VerbatimChar"/>
        </w:rPr>
        <w:t xml:space="preserve">searchconsole_aa.storico_url_impression</w:t>
      </w:r>
      <w:r>
        <w:t xml:space="preserve">: 0 impressioni per tutte e 11, contro 214.341 delle 14 pagine provincia pubblicate,</w:t>
      </w:r>
      <w:r>
        <w:t xml:space="preserve"> </w:t>
      </w:r>
      <w:r>
        <w:t xml:space="preserve">quindi nessun 301 necessario;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2026-10-31T20:22:12Z</dcterms:created>
  <dcterms:modified xsi:type="dcterms:W3CDTF">2026-10-31T20:22:12Z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