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7b12ee54e7c224986cb812fed1da822388f1df5"/>
    <w:p>
      <w:pPr>
        <w:pStyle w:val="Heading1"/>
      </w:pPr>
      <w:r>
        <w:t xml:space="preserve">Specifica del grafo e delle schede Google (stadio 7)</w:t>
      </w:r>
    </w:p>
    <w:p>
      <w:pPr>
        <w:pStyle w:val="FirstParagraph"/>
      </w:pPr>
      <w:r>
        <w:t xml:space="preserve">Danilo Bernabeo · 29 ottobre 2026 · documento interno, non va condiviso così com'è con KOS o con l'agenzia</w:t>
      </w:r>
    </w:p>
    <w:p>
      <w:pPr>
        <w:pStyle w:val="BodyText"/>
      </w:pPr>
      <w:r>
        <w:t xml:space="preserve">Questa specifica guida il lavoro sulle schede Google Business Profile di KOS e Anni Azzurri (138 schede, stadio 7) e</w:t>
      </w:r>
      <w:r>
        <w:t xml:space="preserve"> </w:t>
      </w:r>
      <w:r>
        <w:t xml:space="preserve">tiene allineati tre oggetti che descrivono la stessa sede: la scheda Google, la pagina del sito e il dato</w:t>
      </w:r>
      <w:r>
        <w:t xml:space="preserve"> </w:t>
      </w:r>
      <w:r>
        <w:t xml:space="preserve">strutturato. Non ridefinisce il dato strutturato: per tipi, identificativi e proprietà valgono il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(sezione «Convenzioni del dato strutturato»),</w:t>
      </w:r>
      <w:r>
        <w:t xml:space="preserve"> </w:t>
      </w:r>
      <w:r>
        <w:rPr>
          <w:rStyle w:val="VerbatimChar"/>
        </w:rPr>
        <w:t xml:space="preserve">docs/convenzione-identificativi.md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docs/kos-24.md</w:t>
      </w:r>
      <w:r>
        <w:t xml:space="preserve">. Qui ci sono solo</w:t>
      </w:r>
      <w:r>
        <w:t xml:space="preserve"> </w:t>
      </w:r>
      <w:r>
        <w:t xml:space="preserve">le regole nuove, l'archivio delle sedi, le schede Google e i punti aperti.</w:t>
      </w:r>
    </w:p>
    <w:p>
      <w:pPr>
        <w:pStyle w:val="BodyText"/>
      </w:pPr>
      <w:r>
        <w:t xml:space="preserve">Ogni regola ha accanto il modo per verificarla (colonna o riga «Verifica»): una regola che non si può controllare</w:t>
      </w:r>
      <w:r>
        <w:t xml:space="preserve"> </w:t>
      </w:r>
      <w:r>
        <w:t xml:space="preserve">non è una regola.</w:t>
      </w:r>
    </w:p>
    <w:bookmarkStart w:id="21" w:name="Xb398ccbcc233cf97b9bc62edf5701717356d9e0"/>
    <w:p>
      <w:pPr>
        <w:pStyle w:val="Heading2"/>
      </w:pPr>
      <w:r>
        <w:t xml:space="preserve">1. Perché il grafo, in una frase</w:t>
      </w:r>
    </w:p>
    <w:p>
      <w:pPr>
        <w:pStyle w:val="FirstParagraph"/>
      </w:pPr>
      <w:r>
        <w:t xml:space="preserve">Il dato strutturato non serve a comparire nelle risposte AI di Google, che non lo richiedono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guida di Google, 16/09/2026</w:t>
        </w:r>
      </w:hyperlink>
      <w:r>
        <w:t xml:space="preserve">). Serve</w:t>
      </w:r>
      <w:r>
        <w:t xml:space="preserve"> </w:t>
      </w:r>
      <w:r>
        <w:t xml:space="preserve">ai risultati arricchiti e al pannello informativo (documentato da Google), e alla coerenza tra sito, schede Google e</w:t>
      </w:r>
      <w:r>
        <w:t xml:space="preserve"> </w:t>
      </w:r>
      <w:r>
        <w:t xml:space="preserve">directory, che verifichiamo noi. Per le ricerche «vicino a me» decide la scheda Google: per questo la scheda corretta,</w:t>
      </w:r>
      <w:r>
        <w:t xml:space="preserve"> </w:t>
      </w:r>
      <w:r>
        <w:t xml:space="preserve">alimentata dallo stesso archivio del grafo, è la parte che conta di più. Da non promettere: presenza nelle risposte</w:t>
      </w:r>
      <w:r>
        <w:t xml:space="preserve"> </w:t>
      </w:r>
      <w:r>
        <w:t xml:space="preserve">AI «grazie allo schema», percentuali di traffico AI, punteggi di visibilità.</w:t>
      </w:r>
    </w:p>
    <w:bookmarkEnd w:id="21"/>
    <w:bookmarkStart w:id="22" w:name="Xc3c19de399d5d6171ac5c8aa5901d2b14fe1c39"/>
    <w:p>
      <w:pPr>
        <w:pStyle w:val="Heading2"/>
      </w:pPr>
      <w:r>
        <w:t xml:space="preserve">2. Entità e relazioni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collega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S.p.A.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https://kosgroup.com/#organization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(controllante: CIR S.p.A., non nel grafo)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(KOS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Care S.r.l.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https://anniazzurri.it/#organization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KOS S.p.A.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(AA-8)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società del gruppo (Sanatrix Gestioni, Sanatrix, Jesilab, Abitare il Tempo, Fidia, KOS Servizi)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https://kosgroup.com/it/chi-siamo/governance/dati-societari#&lt;partita IVA&gt;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KOS S.p.A.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Deciso il 29/10, da implementare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Struttura (sede fisica)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(residenze</w:t>
            </w:r>
            <w:r>
              <w:t xml:space="preserve"> </w:t>
            </w:r>
            <w:r>
              <w:rPr>
                <w:rStyle w:val="VerbatimChar"/>
              </w:rPr>
              <w:t xml:space="preserve">["MedicalBusiness","MedicalOrganization"]</w:t>
            </w:r>
            <w:r>
              <w:t xml:space="preserve">; sanitarie</w:t>
            </w:r>
            <w:r>
              <w:t xml:space="preserve"> </w:t>
            </w:r>
            <w:r>
              <w:rPr>
                <w:rStyle w:val="VerbatimChar"/>
              </w:rPr>
              <w:t xml:space="preserve">MedicalClinic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Hospital</w:t>
            </w:r>
            <w:r>
              <w:t xml:space="preserve">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scheda}#localbusiness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società che la gestisce;</w:t>
            </w:r>
            <w:r>
              <w:t xml:space="preserve"> </w:t>
            </w:r>
            <w:r>
              <w:rPr>
                <w:rStyle w:val="VerbatimChar"/>
              </w:rPr>
              <w:t xml:space="preserve">brand</w:t>
            </w:r>
            <w:r>
              <w:t xml:space="preserve"> </w:t>
            </w:r>
            <w:r>
              <w:t xml:space="preserve">→ Anni Azzurri (solo residenze)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KOS: voce 24 (2-6/11); AA: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Reparto o unità operativa nella stessa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stesso tipo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pagina unità}#department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department</w:t>
            </w:r>
            <w:r>
              <w:t xml:space="preserve"> </w:t>
            </w:r>
            <w:r>
              <w:t xml:space="preserve">dalla struttura;</w:t>
            </w:r>
            <w:r>
              <w:t xml:space="preserve"> </w:t>
            </w:r>
            <w:r>
              <w:rPr>
                <w:rStyle w:val="VerbatimChar"/>
              </w:rPr>
              <w:t xml:space="preserve">parentOrganization</w:t>
            </w:r>
            <w:r>
              <w:t xml:space="preserve"> </w:t>
            </w:r>
            <w:r>
              <w:t xml:space="preserve">→ 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Deciso il 29/10 (Villa Margherita Vicenza)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senza sede propria (RSA Aperta, assistenza domiciliare)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{URL}#service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→ struttura;</w:t>
            </w:r>
            <w:r>
              <w:t xml:space="preserve"> </w:t>
            </w:r>
            <w:r>
              <w:rPr>
                <w:rStyle w:val="VerbatimChar"/>
              </w:rPr>
              <w:t xml:space="preserve">areaServed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Sportello in produzione; RSA Aperta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IndividualPhysician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scheda}#medico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practicesAt</w:t>
            </w:r>
            <w:r>
              <w:t xml:space="preserve"> </w:t>
            </w:r>
            <w:r>
              <w:t xml:space="preserve">→ 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voce 11,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Altro professionista sanitario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jobTitle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{URL scheda}#person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practicesAt</w:t>
            </w:r>
            <w:r>
              <w:t xml:space="preserve"> </w:t>
            </w:r>
            <w:r>
              <w:t xml:space="preserve">→ 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voce 11, sprint 3</w:t>
            </w:r>
          </w:p>
        </w:tc>
      </w:tr>
    </w:tbl>
    <w:p>
      <w:pPr>
        <w:pStyle w:val="BodyText"/>
      </w:pPr>
      <w:r>
        <w:t xml:space="preserve">Regole delle relazioni: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Struttura → società.</w:t>
      </w:r>
      <w:r>
        <w:t xml:space="preserve"> </w:t>
      </w:r>
      <w:r>
        <w:t xml:space="preserve">Ogni struttura risale alla società che la gestisce, non per forza all'ente del sito. Esempio:</w:t>
      </w:r>
      <w:r>
        <w:t xml:space="preserve"> </w:t>
      </w:r>
      <w:r>
        <w:t xml:space="preserve">la Residenza Abitare il Tempo risale ad Abitare il Tempo S.r.l., non a KOS Care. Serve la tabella struttura →</w:t>
      </w:r>
      <w:r>
        <w:t xml:space="preserve"> </w:t>
      </w:r>
      <w:r>
        <w:t xml:space="preserve">società (punto aperto 1). Fino ad allora il collegamento resta all'ente del sito.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Marchi.</w:t>
      </w:r>
      <w:r>
        <w:t xml:space="preserve"> </w:t>
      </w:r>
      <w:r>
        <w:t xml:space="preserve">L'unico marchio attivo è Anni Azzurri: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solo sulle residenze. Nessun altro marchio nel grafo né</w:t>
      </w:r>
      <w:r>
        <w:t xml:space="preserve"> </w:t>
      </w:r>
      <w:r>
        <w:t xml:space="preserve">nella TV</w:t>
      </w:r>
      <w:r>
        <w:t xml:space="preserve"> </w:t>
      </w:r>
      <w:r>
        <w:rPr>
          <w:rStyle w:val="VerbatimChar"/>
        </w:rPr>
        <w:t xml:space="preserve">str.marchio</w:t>
      </w:r>
      <w:r>
        <w:t xml:space="preserve"> </w:t>
      </w:r>
      <w:r>
        <w:t xml:space="preserve">di kosgroup.com, che si svuota.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sameAs</w:t>
      </w:r>
      <w:r>
        <w:rPr>
          <w:bCs/>
          <w:b/>
        </w:rPr>
        <w:t xml:space="preserve"> </w:t>
      </w:r>
      <w:r>
        <w:rPr>
          <w:bCs/>
          <w:b/>
        </w:rPr>
        <w:t xml:space="preserve">tra soggetti giuridici diversi</w:t>
      </w:r>
      <w:r>
        <w:t xml:space="preserve">;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solo verso profili esterni ufficiali dello stesso soggetto.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Niente indirizzo, niente nodo struttura</w:t>
      </w:r>
      <w:r>
        <w:t xml:space="preserve"> </w:t>
      </w:r>
      <w:r>
        <w:t xml:space="preserve">(regola già nella libreria).</w:t>
      </w:r>
    </w:p>
    <w:p>
      <w:pPr>
        <w:pStyle w:val="FirstParagraph"/>
      </w:pPr>
      <w:r>
        <w:t xml:space="preserve">Verifica: per ogni pagina struttura, il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servito contiene un solo nodo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, il suo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è una delle società della pagina dei dati societari, e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c'è solo su anniazzurri.it.</w:t>
      </w:r>
    </w:p>
    <w:bookmarkEnd w:id="22"/>
    <w:bookmarkStart w:id="23" w:name="X041017adacbcd363d46bc69dfebed4e4223b1cc"/>
    <w:p>
      <w:pPr>
        <w:pStyle w:val="Heading2"/>
      </w:pPr>
      <w:r>
        <w:t xml:space="preserve">3. Identificativi: cosa non cambia e cosa si aggiunge</w:t>
      </w:r>
    </w:p>
    <w:p>
      <w:pPr>
        <w:pStyle w:val="FirstParagraph"/>
      </w:pPr>
      <w:r>
        <w:t xml:space="preserve">Gli identificativi già pubblicati non cambiano: sono basati sugli indirizzi del sito, non sui codici di Yext o</w:t>
      </w:r>
      <w:r>
        <w:t xml:space="preserve"> </w:t>
      </w:r>
      <w:r>
        <w:t xml:space="preserve">RetailTune, e restano gli stessi con la migrazione. Si aggiungono, in una nuova versione della convenzione da</w:t>
      </w:r>
      <w:r>
        <w:t xml:space="preserve"> </w:t>
      </w:r>
      <w:r>
        <w:t xml:space="preserve">consegnare con lo sprint che li usa: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#department</w:t>
      </w:r>
      <w:r>
        <w:t xml:space="preserve"> </w:t>
      </w:r>
      <w:r>
        <w:t xml:space="preserve">per i reparti nella stessa sede.</w:t>
      </w:r>
    </w:p>
    <w:p>
      <w:pPr>
        <w:numPr>
          <w:ilvl w:val="0"/>
          <w:numId w:val="1002"/>
        </w:numPr>
        <w:pStyle w:val="Compact"/>
      </w:pPr>
      <w:r>
        <w:t xml:space="preserve">Le società del gruppo: indirizzo della pagina dei dati societari più la partita IVA come frammento. È l'unico caso</w:t>
      </w:r>
      <w:r>
        <w:t xml:space="preserve"> </w:t>
      </w:r>
      <w:r>
        <w:t xml:space="preserve">in cui il frammento non è fisso per tipo: un'unica pagina descrive nove società.</w:t>
      </w:r>
    </w:p>
    <w:p>
      <w:pPr>
        <w:pStyle w:val="FirstParagraph"/>
      </w:pPr>
      <w:r>
        <w:t xml:space="preserve">Verifica: nessun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già presente nell'export del 29/10 (</w:t>
      </w:r>
      <w:r>
        <w:rPr>
          <w:rStyle w:val="VerbatimChar"/>
        </w:rPr>
        <w:t xml:space="preserve">scripts/collaudo/verifica-sprint-1.mjs</w:t>
      </w:r>
      <w:r>
        <w:t xml:space="preserve">) cambia dopo i</w:t>
      </w:r>
      <w:r>
        <w:t xml:space="preserve"> </w:t>
      </w:r>
      <w:r>
        <w:t xml:space="preserve">rilasci; i nuovi frammenti compaiono solo sulle pagine previste.</w:t>
      </w:r>
    </w:p>
    <w:bookmarkEnd w:id="23"/>
    <w:bookmarkStart w:id="24" w:name="Xfdf130c9fd5119b47fcabb61a1c0337bc5eceb1"/>
    <w:p>
      <w:pPr>
        <w:pStyle w:val="Heading2"/>
      </w:pPr>
      <w:r>
        <w:t xml:space="preserve">4. Archivio unico delle sedi</w:t>
      </w:r>
    </w:p>
    <w:p>
      <w:pPr>
        <w:pStyle w:val="FirstParagraph"/>
      </w:pPr>
      <w:r>
        <w:rPr>
          <w:bCs/>
          <w:b/>
        </w:rPr>
        <w:t xml:space="preserve">RetailTune è l'archivio</w:t>
      </w:r>
      <w:r>
        <w:t xml:space="preserve"> </w:t>
      </w:r>
      <w:r>
        <w:t xml:space="preserve">delle sedi (contratto in firma, decisione presa). Da RetailTune derivano tre cose: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Scheda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Sincronizzazione di RetailTune: nome, indirizzo, telefono, sito, categorie, orari e orari speciali, attributi, foto, descrizione, link di prenotazione; RetailTune gestisce anche le risposte alle recensioni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RetailTune, su dati validati da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Pagina del 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nelle 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di MODX (elenco in</w:t>
            </w:r>
            <w:r>
              <w:t xml:space="preserve"> </w:t>
            </w:r>
            <w:r>
              <w:rPr>
                <w:rStyle w:val="VerbatimChar"/>
              </w:rPr>
              <w:t xml:space="preserve">docs/kos-24.md</w:t>
            </w:r>
            <w:r>
              <w:t xml:space="preserve">), una volta prima della migrazione dall'export Yext corretto, poi ogni giorno da 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Progetto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 strutturato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Letto dalle stesse TV della pagina, quindi pagina e markup non possono divergere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Progetto (libreria comune)</w:t>
            </w:r>
          </w:p>
        </w:tc>
      </w:tr>
    </w:tbl>
    <w:p>
      <w:pPr>
        <w:pStyle w:val="BodyText"/>
      </w:pPr>
      <w:r>
        <w:t xml:space="preserve">Regole: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 solo punto di modifica.</w:t>
      </w:r>
      <w:r>
        <w:t xml:space="preserve"> </w:t>
      </w:r>
      <w:r>
        <w:t xml:space="preserve">Un dato della sede si corregge in RetailTune, mai a mano su Google né nelle TV. Le</w:t>
      </w:r>
      <w:r>
        <w:t xml:space="preserve"> </w:t>
      </w:r>
      <w:r>
        <w:t xml:space="preserve">modifiche fatte a mano su Google vengono sovrascritte o, peggio, restano diverse dal sito.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Codice sede.</w:t>
      </w:r>
      <w:r>
        <w:t xml:space="preserve"> </w:t>
      </w:r>
      <w:r>
        <w:t xml:space="preserve">Ogni sede ha un codice stabile, lo stesso in RetailTune, nella scheda Google («Codice negozio»)</w:t>
      </w:r>
      <w:r>
        <w:t xml:space="preserve"> </w:t>
      </w:r>
      <w:r>
        <w:t xml:space="preserve">e nella TV della pagina. Oggi nei 6 gruppi Google ci sono 92 codici</w:t>
      </w:r>
      <w:r>
        <w:t xml:space="preserve"> </w:t>
      </w:r>
      <w:r>
        <w:rPr>
          <w:rStyle w:val="VerbatimChar"/>
        </w:rPr>
        <w:t xml:space="preserve">KCA00_…</w:t>
      </w:r>
      <w:r>
        <w:t xml:space="preserve">, 18 numerici, 18 liberi («Temporary 1»,</w:t>
      </w:r>
      <w:r>
        <w:t xml:space="preserve"> </w:t>
      </w:r>
      <w:r>
        <w:t xml:space="preserve">«Villalba», «BGOMAN», «RAACampiBisenzio»…) e 10 vuoti: vanno normalizzati prima della migrazione, con il codice che</w:t>
      </w:r>
      <w:r>
        <w:t xml:space="preserve"> </w:t>
      </w:r>
      <w:r>
        <w:t xml:space="preserve">usa RetailTune (punto aperto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Confronto a tre</w:t>
      </w:r>
      <w:r>
        <w:t xml:space="preserve"> </w:t>
      </w:r>
      <w:r>
        <w:t xml:space="preserve">(sito, RetailTune, export Google) dopo ogni import e ogni trimestre; le differenze si correggono</w:t>
      </w:r>
      <w:r>
        <w:t xml:space="preserve"> </w:t>
      </w:r>
      <w:r>
        <w:t xml:space="preserve">in RetailTune.</w:t>
      </w:r>
    </w:p>
    <w:p>
      <w:pPr>
        <w:pStyle w:val="FirstParagraph"/>
      </w:pPr>
      <w:r>
        <w:t xml:space="preserve">Verifica: l'export Google e la tabella delle TV hanno lo stesso codice sede su ogni riga; il confronto a tre non trova</w:t>
      </w:r>
      <w:r>
        <w:t xml:space="preserve"> </w:t>
      </w:r>
      <w:r>
        <w:t xml:space="preserve">differenze su nome, indirizzo, telefono, sito e orari.</w:t>
      </w:r>
    </w:p>
    <w:bookmarkEnd w:id="24"/>
    <w:bookmarkStart w:id="31" w:name="X12cf85615ebfda6c5af3c2c05e32ca102cd2256"/>
    <w:p>
      <w:pPr>
        <w:pStyle w:val="Heading2"/>
      </w:pPr>
      <w:r>
        <w:t xml:space="preserve">5. Schede Google</w:t>
      </w:r>
    </w:p>
    <w:bookmarkStart w:id="25" w:name="account-e-gruppi"/>
    <w:p>
      <w:pPr>
        <w:pStyle w:val="Heading3"/>
      </w:pPr>
      <w:r>
        <w:t xml:space="preserve">Account e gruppi</w:t>
      </w:r>
    </w:p>
    <w:p>
      <w:pPr>
        <w:pStyle w:val="FirstParagraph"/>
      </w:pPr>
      <w:r>
        <w:t xml:space="preserve">Proprietario: KOS. Sei gruppi di sedi (export del 26/10 in</w:t>
      </w:r>
      <w:r>
        <w:t xml:space="preserve"> </w:t>
      </w:r>
      <w:r>
        <w:rPr>
          <w:rStyle w:val="VerbatimChar"/>
        </w:rPr>
        <w:t xml:space="preserve">kosgroup/dati/voce-24/gbp/</w:t>
      </w:r>
      <w:r>
        <w:t xml:space="preserve">): Anni Azzurri (60),</w:t>
      </w:r>
      <w:r>
        <w:t xml:space="preserve"> </w:t>
      </w:r>
      <w:r>
        <w:t xml:space="preserve">Centri ambulatoriali (15), Extra Yext (26), Poliambulatori (14), Psichiatria (9), Riabilitazione (14).</w:t>
      </w:r>
    </w:p>
    <w:bookmarkEnd w:id="25"/>
    <w:bookmarkStart w:id="27" w:name="nome-indirizzo-telefono-sito"/>
    <w:p>
      <w:pPr>
        <w:pStyle w:val="Heading3"/>
      </w:pPr>
      <w:r>
        <w:t xml:space="preserve">Nome, indirizzo, telefono, sito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nome reale usato sull'insegna e nei documenti, senza parole chiave aggiunte («RSA», città, servizi)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Linee guida per la rappresentazione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numeri ufficiali della sede, gli stessi del sito e della carta dei servizi; niente numeri di tracciamento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Linee guida; regola del progetto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L'URL canonico della pagina della sede, con i parametri UTM</w:t>
            </w:r>
            <w:r>
              <w:t xml:space="preserve"> </w:t>
            </w:r>
            <w:r>
              <w:rPr>
                <w:rStyle w:val="VerbatimChar"/>
              </w:rPr>
              <w:t xml:space="preserve">utm_source=google&amp;utm_medium=organic&amp;utm_campaign=gbp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 del 29/10, da applicare con la migrazione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Uguale a quello della pagina e del markup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Archivio</w:t>
            </w:r>
          </w:p>
        </w:tc>
      </w:tr>
    </w:tbl>
    <w:p>
      <w:pPr>
        <w:pStyle w:val="BodyText"/>
      </w:pPr>
      <w:r>
        <w:t xml:space="preserve">Verifica: nessun nome dell'export contiene parole che non sono nel nome ufficiale; ogni campo «Sito» punta a</w:t>
      </w:r>
      <w:r>
        <w:t xml:space="preserve"> </w:t>
      </w:r>
      <w:r>
        <w:rPr>
          <w:rStyle w:val="VerbatimChar"/>
        </w:rPr>
        <w:t xml:space="preserve">kosgroup.com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anniazzurri.it</w:t>
      </w:r>
      <w:r>
        <w:t xml:space="preserve"> </w:t>
      </w:r>
      <w:r>
        <w:t xml:space="preserve">(oggi nel gruppo Extra Yext 5 schede puntano altrove e una non ha il sito; nei Poliambulatori una punta altrove) e la pagina risponde 200 con canonical uguale all'URL senza parametri.</w:t>
      </w:r>
    </w:p>
    <w:bookmarkEnd w:id="27"/>
    <w:bookmarkStart w:id="28" w:name="categorie-residenze-anni-azzurri"/>
    <w:p>
      <w:pPr>
        <w:pStyle w:val="Heading3"/>
      </w:pPr>
      <w:r>
        <w:t xml:space="preserve">Categorie: residenze Anni Azzurri</w:t>
      </w:r>
    </w:p>
    <w:p>
      <w:pPr>
        <w:pStyle w:val="FirstParagraph"/>
      </w:pPr>
      <w:r>
        <w:t xml:space="preserve">Decise il 29/10, da validare con PWC. Valgono per tutte le residenze insieme: le linee guida chiedono la stessa</w:t>
      </w:r>
      <w:r>
        <w:t xml:space="preserve"> </w:t>
      </w:r>
      <w:r>
        <w:t xml:space="preserve">categoria per le sedi di una catena che offrono lo stesso servizio, e tutte le residenze sono RSA o equivalenti</w:t>
      </w:r>
      <w:r>
        <w:t xml:space="preserve"> </w:t>
      </w:r>
      <w:r>
        <w:t xml:space="preserve">(carte dei servizi,</w:t>
      </w:r>
      <w:r>
        <w:t xml:space="preserve"> </w:t>
      </w:r>
      <w:r>
        <w:rPr>
          <w:rStyle w:val="VerbatimChar"/>
        </w:rPr>
        <w:t xml:space="preserve">anniazzurri/dati/accreditamento-residenze-2026-10-29.xlsx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 di riposo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Principale (oggi è «Casa di cura» su 57 residenze)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 di cura, Centro anziani, Assistenza agli anziani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diurno per adulti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centro diurno integrato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di riabilitazione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unità di riabilitazione (PGR Milano, PGR Cinisello, Mirasole, Rezzato, Dorica…)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 di cura per lungodegenti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cure intermedie o post-acuzie (Villa Reale, San Luca)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di assistenza domiciliare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Aggiuntiva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 RSA Aperta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Geriatra, Servizio di salute mentale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togliere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Oggi su 51 e 42 residenze</w:t>
            </w:r>
          </w:p>
        </w:tc>
      </w:tr>
    </w:tbl>
    <w:p>
      <w:pPr>
        <w:pStyle w:val="BodyText"/>
      </w:pPr>
      <w:r>
        <w:t xml:space="preserve">Motivazioni e fonti:</w:t>
      </w:r>
    </w:p>
    <w:p>
      <w:pPr>
        <w:numPr>
          <w:ilvl w:val="0"/>
          <w:numId w:val="1004"/>
        </w:numPr>
        <w:pStyle w:val="Compact"/>
      </w:pPr>
      <w:r>
        <w:t xml:space="preserve">Concorrenti verificati su Google Maps il 29/10: Korian/Clariane (8 schede), Sereni Orizzonti (9 su 10), Gruppo La Villa</w:t>
      </w:r>
      <w:r>
        <w:t xml:space="preserve"> </w:t>
      </w:r>
      <w:r>
        <w:t xml:space="preserve">(8), Gheron usano «Casa di riposo»; Korian ha come aggiuntive «Casa di cura», «Centro anziani», «Assistenza agli</w:t>
      </w:r>
      <w:r>
        <w:t xml:space="preserve"> </w:t>
      </w:r>
      <w:r>
        <w:t xml:space="preserve">anziani». Nelle ricerche «RSA Milano» e «casa di riposo Torino» 19 risultati su 20 hanno «Casa di riposo».</w:t>
      </w:r>
    </w:p>
    <w:p>
      <w:pPr>
        <w:numPr>
          <w:ilvl w:val="0"/>
          <w:numId w:val="1004"/>
        </w:numPr>
        <w:pStyle w:val="Compact"/>
      </w:pPr>
      <w:r>
        <w:t xml:space="preserve">Elenco delle categorie disponibili letto nel selettore di Google Business Profile il 29/10 (senza salvare): non</w:t>
      </w:r>
      <w:r>
        <w:t xml:space="preserve"> </w:t>
      </w:r>
      <w:r>
        <w:t xml:space="preserve">esistono categorie per Alzheimer, demenza, residenza assistita, hospice o cure palliative come struttura.</w:t>
      </w:r>
      <w:r>
        <w:t xml:space="preserve"> </w:t>
      </w:r>
      <w:r>
        <w:t xml:space="preserve">Nucleo Alzheimer e stati vegetativi si raccontano nella descrizione e nella pagina, non nelle categorie.</w:t>
      </w:r>
    </w:p>
    <w:p>
      <w:pPr>
        <w:numPr>
          <w:ilvl w:val="0"/>
          <w:numId w:val="1004"/>
        </w:numPr>
        <w:pStyle w:val="Compact"/>
      </w:pPr>
      <w:r>
        <w:t xml:space="preserve">«Geriatra» e simili sono categorie per singoli medici: su Mirasole Google classifica la residenza come «doctor».</w:t>
      </w:r>
    </w:p>
    <w:p>
      <w:pPr>
        <w:numPr>
          <w:ilvl w:val="0"/>
          <w:numId w:val="1004"/>
        </w:numPr>
        <w:pStyle w:val="Compact"/>
      </w:pPr>
      <w:r>
        <w:t xml:space="preserve">«Casa di riposo» compare due volte nel selettore: sono due categorie diverse con lo stesso nome italiano. Quale</w:t>
      </w:r>
      <w:r>
        <w:t xml:space="preserve"> </w:t>
      </w:r>
      <w:r>
        <w:t xml:space="preserve">usare lo conferma RetailTune, che lavora con il codice della categoria (punto aperto 4).</w:t>
      </w:r>
    </w:p>
    <w:p>
      <w:pPr>
        <w:numPr>
          <w:ilvl w:val="0"/>
          <w:numId w:val="1004"/>
        </w:numPr>
        <w:pStyle w:val="Compact"/>
      </w:pPr>
      <w:r>
        <w:t xml:space="preserve">Anomalie da correggere comunque: Valdaso (principale «Centro di riabilitazione»), Conero («Servizio di salute</w:t>
      </w:r>
      <w:r>
        <w:t xml:space="preserve"> </w:t>
      </w:r>
      <w:r>
        <w:t xml:space="preserve">mentale»), Borgomanero («Casa di riposo» senza aggiuntive).</w:t>
      </w:r>
    </w:p>
    <w:p>
      <w:pPr>
        <w:pStyle w:val="FirstParagraph"/>
      </w:pPr>
      <w:r>
        <w:t xml:space="preserve">Misura: posizione nelle ricerche «RSA &lt;città&gt;» e «casa di riposo &lt;città&gt;» per un campione di 10 residenze, prima del</w:t>
      </w:r>
      <w:r>
        <w:t xml:space="preserve"> </w:t>
      </w:r>
      <w:r>
        <w:t xml:space="preserve">cambio e dopo 4-6 settimane, confrontata con le strutture KOS non toccate.</w:t>
      </w:r>
    </w:p>
    <w:p>
      <w:pPr>
        <w:pStyle w:val="BodyText"/>
      </w:pPr>
      <w:r>
        <w:t xml:space="preserve">Verifica: nell'export Google tutte le residenze hanno la stessa principale e le aggiuntive previste dalla tabella;</w:t>
      </w:r>
      <w:r>
        <w:t xml:space="preserve"> </w:t>
      </w:r>
      <w:r>
        <w:t xml:space="preserve">nessuna ha «Geriatra» o «Servizio di salute mentale».</w:t>
      </w:r>
    </w:p>
    <w:bookmarkEnd w:id="28"/>
    <w:bookmarkStart w:id="29" w:name="categorie-strutture-kos"/>
    <w:p>
      <w:pPr>
        <w:pStyle w:val="Heading3"/>
      </w:pPr>
      <w:r>
        <w:t xml:space="preserve">Categorie: strutture KOS</w:t>
      </w:r>
    </w:p>
    <w:p>
      <w:pPr>
        <w:pStyle w:val="FirstParagraph"/>
      </w:pPr>
      <w:r>
        <w:t xml:space="preserve">Stesse regole (principale specifica, poche aggiuntive per reparti o servizi reali, mai categorie per singoli</w:t>
      </w:r>
      <w:r>
        <w:t xml:space="preserve"> </w:t>
      </w:r>
      <w:r>
        <w:t xml:space="preserve">professionisti), da applicare gruppo per gruppo dopo la migrazione. Dall'export del 26/10 sono da rivedere almeno:</w:t>
      </w:r>
    </w:p>
    <w:p>
      <w:pPr>
        <w:numPr>
          <w:ilvl w:val="0"/>
          <w:numId w:val="1005"/>
        </w:numPr>
        <w:pStyle w:val="Compact"/>
      </w:pPr>
      <w:r>
        <w:t xml:space="preserve">categorie per professionisti su strutture: «Pediatra» (13), «Psicologo» (11), «Logopedista» (10) nei Centri</w:t>
      </w:r>
      <w:r>
        <w:t xml:space="preserve"> </w:t>
      </w:r>
      <w:r>
        <w:t xml:space="preserve">ambulatoriali; «Fisiatra», «Fisioterapista» nella Riabilitazione; «Psichiatra» in Psichiatria ed Extra Yext;</w:t>
      </w:r>
    </w:p>
    <w:p>
      <w:pPr>
        <w:numPr>
          <w:ilvl w:val="0"/>
          <w:numId w:val="1005"/>
        </w:numPr>
        <w:pStyle w:val="Compact"/>
      </w:pPr>
      <w:r>
        <w:t xml:space="preserve">categorie estranee: «Sala biliardi» su 2 Centri ambulatoriali, «Automazione e robotica» in Extra Yext.</w:t>
      </w:r>
    </w:p>
    <w:p>
      <w:pPr>
        <w:pStyle w:val="FirstParagraph"/>
      </w:pPr>
      <w:r>
        <w:t xml:space="preserve">Verifica: come per le residenze, gruppo per gruppo.</w:t>
      </w:r>
    </w:p>
    <w:bookmarkEnd w:id="29"/>
    <w:bookmarkStart w:id="30" w:name="reparti-servizi-e-professionisti"/>
    <w:p>
      <w:pPr>
        <w:pStyle w:val="Heading3"/>
      </w:pPr>
      <w:r>
        <w:t xml:space="preserve">Reparti, servizi e professionisti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Reparti nella stessa sede</w:t>
      </w:r>
      <w:r>
        <w:t xml:space="preserve">: una sola scheda, salvo che il reparto abbia ingresso, nome e gestione propri (regola</w:t>
      </w:r>
      <w:r>
        <w:t xml:space="preserve"> </w:t>
      </w:r>
      <w:r>
        <w:t xml:space="preserve">dei reparti delle linee guida). Villa Margherita Vicenza: una scheda, due unità operative come</w:t>
      </w:r>
      <w:r>
        <w:t xml:space="preserve"> </w:t>
      </w:r>
      <w:r>
        <w:rPr>
          <w:rStyle w:val="VerbatimChar"/>
        </w:rPr>
        <w:t xml:space="preserve">#department</w:t>
      </w:r>
      <w:r>
        <w:t xml:space="preserve"> </w:t>
      </w:r>
      <w:r>
        <w:t xml:space="preserve">nel</w:t>
      </w:r>
      <w:r>
        <w:t xml:space="preserve"> </w:t>
      </w:r>
      <w:r>
        <w:t xml:space="preserve">grafo.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Servizi senza sede propria</w:t>
      </w:r>
      <w:r>
        <w:t xml:space="preserve"> </w:t>
      </w:r>
      <w:r>
        <w:t xml:space="preserve">(RSA Aperta, assistenza domiciliare): nessuna scheda; al massimo la categoria</w:t>
      </w:r>
      <w:r>
        <w:t xml:space="preserve"> </w:t>
      </w:r>
      <w:r>
        <w:t xml:space="preserve">aggiuntiva sulla residenza che li eroga.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Professionisti</w:t>
      </w:r>
      <w:r>
        <w:t xml:space="preserve">: nessuna scheda per singolo medico creata dal progetto. Se KOS le vuole, è una decisione a parte</w:t>
      </w:r>
      <w:r>
        <w:t xml:space="preserve"> </w:t>
      </w:r>
      <w:r>
        <w:t xml:space="preserve">(punto aperto 5).</w:t>
      </w:r>
    </w:p>
    <w:bookmarkEnd w:id="30"/>
    <w:bookmarkEnd w:id="31"/>
    <w:bookmarkStart w:id="32" w:name="X37a08126dc4535032e0540cd1b4c877e1c91dba"/>
    <w:p>
      <w:pPr>
        <w:pStyle w:val="Heading2"/>
      </w:pPr>
      <w:r>
        <w:t xml:space="preserve">6. Regole fisse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vale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 numeri di telefono ufficiali della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Scheda, pagina, markup, risposte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a 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Comunicazione sanitaria solo informativa, senza elementi promozionali o suggestivi (L. 145/2018, art. 1 c. 525; Codice deontologico artt. 55-56)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 della scheda, post, pagine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dei testi prima della pubblicazione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Nelle risposte alle recensioni mai dati sanitari, mai confermare che l'autore è un paziente, mai citare 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Risposte (gestite da RetailTune)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Campione mensile delle risposte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Richiesta di recensione uguale per tutti, senza incentivi né filtri sui soddisfatti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 di 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Istruzioni scritte al personale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markup descrive solo ciò che è scritto nella 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Results Test sul codice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Nessuna modifica a mano su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registro delle modifiche non ha righe senza origine RetailTune</w:t>
            </w:r>
          </w:p>
        </w:tc>
      </w:tr>
    </w:tbl>
    <w:bookmarkEnd w:id="32"/>
    <w:bookmarkStart w:id="33" w:name="X9a7309aeffa2fba2e141d3f049672c0bb9af597"/>
    <w:p>
      <w:pPr>
        <w:pStyle w:val="Heading2"/>
      </w:pPr>
      <w:r>
        <w:t xml:space="preserve">7. Registro delle modifiche alle schede</w:t>
      </w:r>
    </w:p>
    <w:p>
      <w:pPr>
        <w:pStyle w:val="FirstParagraph"/>
      </w:pPr>
      <w:r>
        <w:t xml:space="preserve">Ogni modifica a una scheda, fatta dal progetto o chiesta a RetailTune, entra in un registro (</w:t>
      </w:r>
      <w:r>
        <w:rPr>
          <w:rStyle w:val="VerbatimChar"/>
        </w:rPr>
        <w:t xml:space="preserve">kosgroup/dati/gbp/registro.csv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AAAA-MM-GG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codice_sede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Codice negozio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della scheda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Nome, categoria principale, categorie aggiuntive, sito, telefono, orari, descrizione…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 prima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 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Regola di questa specifica o richiesta di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richiesto_da / eseguito_da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o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esito del controllo sull'export successivo</w:t>
            </w:r>
          </w:p>
        </w:tc>
      </w:tr>
    </w:tbl>
    <w:bookmarkEnd w:id="33"/>
    <w:bookmarkStart w:id="34" w:name="Xa29be8f386a51c7d1abf4f631a2dbff0d6e439f"/>
    <w:p>
      <w:pPr>
        <w:pStyle w:val="Heading2"/>
      </w:pPr>
      <w:r>
        <w:t xml:space="preserve">8. Stato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 KOS S.p.A. e KOS Care, briciole, 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Libreria del nodo struttura (KOS voce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spenta; si accende con l'import 2-6/11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 strutturato delle residenze 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3 (27/11)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 e professionisti 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3 (voce 11); widget per medico dopo l'esportazione dal gestionale verso 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Società del gruppo e</w:t>
            </w:r>
            <w:r>
              <w:t xml:space="preserve"> </w:t>
            </w:r>
            <w:r>
              <w:rPr>
                <w:rStyle w:val="VerbatimChar"/>
              </w:rPr>
              <w:t xml:space="preserve">#department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Deciso il 29/10; implementazione con la tabella struttura → società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Archivio RetailTune e sincronizzazione delle schede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avvio (contratto in firma)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Decise il 29/10, da validare con PWC; si applicano con la migrazione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 delle strutture KOS, codici sede, UTM,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Previsti con la migrazione</w:t>
            </w:r>
          </w:p>
        </w:tc>
      </w:tr>
    </w:tbl>
    <w:bookmarkEnd w:id="34"/>
    <w:bookmarkStart w:id="35" w:name="Xa13d8b3535a4a7e0f52461ac653b504e2176447"/>
    <w:p>
      <w:pPr>
        <w:pStyle w:val="Heading2"/>
      </w:pPr>
      <w:r>
        <w:t xml:space="preserve">9. Punti aperti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Tabella struttura → società</w:t>
      </w:r>
      <w:r>
        <w:t xml:space="preserve"> </w:t>
      </w:r>
      <w:r>
        <w:t xml:space="preserve">che gestisce ciascuna struttura (la sta chiedendo Danilo). Senza, il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resta all'ente del sito.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Validazione delle categorie delle residenze con PWC.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Codice sede di RetailTune</w:t>
      </w:r>
      <w:r>
        <w:t xml:space="preserve">: quale usano per agganciare le schede; normalizzazione dei 46 codici non uniformi o</w:t>
      </w:r>
      <w:r>
        <w:t xml:space="preserve"> </w:t>
      </w:r>
      <w:r>
        <w:t xml:space="preserve">vuoti.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Quale delle due «Casa di riposo»</w:t>
      </w:r>
      <w:r>
        <w:t xml:space="preserve"> </w:t>
      </w:r>
      <w:r>
        <w:t xml:space="preserve">(e delle due «Servizio di assistenza domiciliare») usare: codice della</w:t>
      </w:r>
      <w:r>
        <w:t xml:space="preserve"> </w:t>
      </w:r>
      <w:r>
        <w:t xml:space="preserve">categoria da RetailTune, e quale usa Korian.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Schede dei singoli medici</w:t>
      </w:r>
      <w:r>
        <w:t xml:space="preserve">: KOS le vuole? Le linee guida le ammettono, ma moltiplicano le schede da curare.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Ingresso, nome e gestione dei centri diurni e degli hospice nelle residenze</w:t>
      </w:r>
      <w:r>
        <w:t xml:space="preserve">: decidono se meritano una scheda</w:t>
      </w:r>
      <w:r>
        <w:t xml:space="preserve"> </w:t>
      </w:r>
      <w:r>
        <w:t xml:space="preserve">propria (oggi Beati Coniugi Martin e San Giorgio ce l'hanno).</w:t>
      </w:r>
    </w:p>
    <w:bookmarkEnd w:id="35"/>
    <w:bookmarkStart w:id="38" w:name="Xe57d65a6ca38fc434940687474691405883c838"/>
    <w:p>
      <w:pPr>
        <w:pStyle w:val="Heading2"/>
      </w:pPr>
      <w:r>
        <w:t xml:space="preserve">10. Riferimenti</w:t>
      </w:r>
    </w:p>
    <w:p>
      <w:pPr>
        <w:numPr>
          <w:ilvl w:val="0"/>
          <w:numId w:val="1008"/>
        </w:numPr>
        <w:pStyle w:val="Compact"/>
      </w:pPr>
      <w:r>
        <w:t xml:space="preserve">Google:</w:t>
      </w:r>
      <w:r>
        <w:t xml:space="preserve"> </w:t>
      </w:r>
      <w:hyperlink r:id="rId26">
        <w:r>
          <w:rPr>
            <w:rStyle w:val="Hyperlink"/>
          </w:rPr>
          <w:t xml:space="preserve">linee guida per la rappresentazione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scelta della categoria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dato strutturato LocalBusiness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Progetto: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docs/convenzione-identificativi.md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docs/kos-24.md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docs/piano-sprint-1.md</w:t>
      </w:r>
      <w:r>
        <w:t xml:space="preserve"> </w:t>
      </w:r>
      <w:r>
        <w:t xml:space="preserve">(decisioni del 29/10),</w:t>
      </w:r>
      <w:r>
        <w:t xml:space="preserve"> </w:t>
      </w:r>
      <w:r>
        <w:rPr>
          <w:rStyle w:val="VerbatimChar"/>
        </w:rPr>
        <w:t xml:space="preserve">kosgroup/dati/voce-24/gbp/</w:t>
      </w:r>
      <w:r>
        <w:t xml:space="preserve"> </w:t>
      </w:r>
      <w:r>
        <w:t xml:space="preserve">(export delle schede),</w:t>
      </w:r>
      <w:r>
        <w:t xml:space="preserve"> </w:t>
      </w:r>
      <w:r>
        <w:rPr>
          <w:rStyle w:val="VerbatimChar"/>
        </w:rPr>
        <w:t xml:space="preserve">anniazzurri/dati/accreditamento-residenze-2026-10-29.xlsx</w:t>
      </w:r>
      <w:r>
        <w:t xml:space="preserve">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evelopers.google.com/search/docs/appearance/structured-data/local-business" TargetMode="External" /><Relationship Type="http://schemas.openxmlformats.org/officeDocument/2006/relationships/hyperlink" Id="rId20" Target="https://developers.google.com/search/docs/fundamentals/ai-optimization-guide" TargetMode="External" /><Relationship Type="http://schemas.openxmlformats.org/officeDocument/2006/relationships/hyperlink" Id="rId26" Target="https://support.google.com/business/answer/3038177" TargetMode="External" /><Relationship Type="http://schemas.openxmlformats.org/officeDocument/2006/relationships/hyperlink" Id="rId36" Target="https://support.google.com/business/answer/72496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evelopers.google.com/search/docs/appearance/structured-data/local-business" TargetMode="External" /><Relationship Type="http://schemas.openxmlformats.org/officeDocument/2006/relationships/hyperlink" Id="rId20" Target="https://developers.google.com/search/docs/fundamentals/ai-optimization-guide" TargetMode="External" /><Relationship Type="http://schemas.openxmlformats.org/officeDocument/2006/relationships/hyperlink" Id="rId26" Target="https://support.google.com/business/answer/3038177" TargetMode="External" /><Relationship Type="http://schemas.openxmlformats.org/officeDocument/2006/relationships/hyperlink" Id="rId36" Target="https://support.google.com/business/answer/72496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2026-10-29T20:05:14Z</dcterms:created>
  <dcterms:modified xsi:type="dcterms:W3CDTF">2026-10-29T20:05:14Z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