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Resta solo la conferma di KOS sulle frasi di sintesi di llms.txt, già pubblicato.</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Attende KOS</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Il testo della sintesi attende la conferma di KOS.</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Tre pagine con dato specifico hanno ancora un blocco JSON-LD in più, che richiama l'ente per </w:t>
      </w:r>
      <w:r>
        <w:rPr>
          <w:rStyle w:val="CodeChar"/>
        </w:rPr>
        <w:t xml:space="preserve">@id</w:t>
      </w:r>
      <w:r>
        <w:t xml:space="preserve">: lo Sportello sociale e due pagine di lavoro. Questi blocchi confluiranno nel grafo unico in uno sprint successivo.</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una conferma di KOS e alcune note per gli sprint successivi.</w:t>
      </w:r>
    </w:p>
    <w:p>
      <w:pPr>
        <w:pStyle w:val="ListParagraph"/>
        <w:numPr>
          <w:ilvl w:val="0"/>
          <w:numId w:val="5"/>
        </w:numPr>
      </w:pPr>
      <w:r>
        <w:rPr>
          <w:b/>
        </w:rPr>
        <w:t xml:space="preserve">Testo di llms.txt (kosgroup.com e anniazzurri.it)</w:t>
      </w:r>
      <w:r>
        <w:t xml:space="preserve">: KOS conferma le due frasi di sintesi in apertura; il file è già pubblicato e si aggiorna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e blocchi JSON-LD residui di Sportello sociale e pagine di lavoro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node/0b2d0068-d38d@15 docx-w7</dc:description>
  <cp:revision>15</cp:revision>
</cp:coreProperties>
</file>