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Nota di consegna dello sprint 1</w:t>
      </w:r>
    </w:p>
    <w:p>
      <w:pPr/>
      <w:r>
        <w:t xml:space="preserve">Oct 20, 2026</w:t>
      </w:r>
      <w:r>
        <w:t xml:space="preserve"> · </w:t>
      </w:r>
      <w:r>
        <w:t xml:space="preserve">@Danilo Bernabeo</w:t>
      </w:r>
    </w:p>
    <w:p>
      <w:pPr>
        <w:pStyle w:val="Heading2"/>
      </w:pPr>
      <w:r>
        <w:t xml:space="preserve">Sintesi</w:t>
      </w:r>
    </w:p>
    <w:p>
      <w:pPr/>
      <w:r>
        <w:t xml:space="preserve">Le dieci voci d'audit dello sprint 1 sono chiuse: sei con interventi in produzione, quattro risultavano già a posto e sono verificate con evidenza. Resta da approvare il testo di sintesi di llms.txt, già pubblicato.</w:t>
      </w:r>
    </w:p>
    <w:tbl>
      <w:tblPr>
        <w:tblStyle w:val="TableGrid"/>
        <w:tblW w:w="0" w:type="auto"/>
        <w:tblLayout w:type="fixed"/>
        <w:tblLook w:val="04A0" w:firstRow="1" w:lastRow="0" w:firstColumn="0" w:lastColumn="0" w:noHBand="0" w:noVBand="1"/>
      </w:tblPr>
      <w:tblGrid>
        <w:gridCol w:w="1669"/>
        <w:gridCol w:w="1719"/>
        <w:gridCol w:w="3044"/>
        <w:gridCol w:w="1345"/>
        <w:gridCol w:w="1583"/>
      </w:tblGrid>
      <w:tr>
        <w:trPr>
          <w:tblHeader/>
        </w:trPr>
        <w:tc>
          <w:tcPr>
            <w:tcW w:w="1669" w:type="dxa"/>
            <w:shd w:val="clear" w:color="auto" w:fill="F2F2F2"/>
          </w:tcPr>
          <w:p>
            <w:pPr/>
            <w:r>
              <w:t xml:space="preserve">Sito</w:t>
            </w:r>
          </w:p>
        </w:tc>
        <w:tc>
          <w:tcPr>
            <w:tcW w:w="1719" w:type="dxa"/>
            <w:shd w:val="clear" w:color="auto" w:fill="F2F2F2"/>
          </w:tcPr>
          <w:p>
            <w:pPr/>
            <w:r>
              <w:t xml:space="preserve">Voce d'audit</w:t>
            </w:r>
          </w:p>
        </w:tc>
        <w:tc>
          <w:tcPr>
            <w:tcW w:w="3044" w:type="dxa"/>
            <w:shd w:val="clear" w:color="auto" w:fill="F2F2F2"/>
          </w:tcPr>
          <w:p>
            <w:pPr/>
            <w:r>
              <w:t xml:space="preserve">Intervento</w:t>
            </w:r>
          </w:p>
        </w:tc>
        <w:tc>
          <w:tcPr>
            <w:tcW w:w="1345" w:type="dxa"/>
            <w:shd w:val="clear" w:color="auto" w:fill="F2F2F2"/>
          </w:tcPr>
          <w:p>
            <w:pPr/>
            <w:r>
              <w:t xml:space="preserve">Stato</w:t>
            </w:r>
          </w:p>
        </w:tc>
        <w:tc>
          <w:tcPr>
            <w:tcW w:w="1583" w:type="dxa"/>
            <w:shd w:val="clear" w:color="auto" w:fill="F2F2F2"/>
          </w:tcPr>
          <w:p>
            <w:pPr/>
            <w:r>
              <w:t xml:space="preserve">Data</w:t>
            </w:r>
          </w:p>
        </w:tc>
      </w:tr>
      <w:tr>
        <w:tc>
          <w:tcPr>
            <w:tcW w:w="1669" w:type="dxa"/>
          </w:tcPr>
          <w:p>
            <w:pPr/>
            <w:r>
              <w:t xml:space="preserve">kosgroup.com</w:t>
            </w:r>
          </w:p>
        </w:tc>
        <w:tc>
          <w:tcPr>
            <w:tcW w:w="1719" w:type="dxa"/>
          </w:tcPr>
          <w:p>
            <w:pPr/>
            <w:r>
              <w:t xml:space="preserve">3 · Cache delle risorse statiche</w:t>
            </w:r>
          </w:p>
        </w:tc>
        <w:tc>
          <w:tcPr>
            <w:tcW w:w="3044" w:type="dxa"/>
          </w:tcPr>
          <w:p>
            <w:pPr/>
            <w:r>
              <w:t xml:space="preserve">Immagini 180 giorni, font 365 giorni, CSS e JS 180 giorni con versione automatica dei file</w:t>
            </w:r>
          </w:p>
        </w:tc>
        <w:tc>
          <w:tcPr>
            <w:tcW w:w="1345" w:type="dxa"/>
          </w:tcPr>
          <w:p>
            <w:pPr/>
            <w:r>
              <w:t xml:space="preserve">In produzione</w:t>
            </w:r>
          </w:p>
        </w:tc>
        <w:tc>
          <w:tcPr>
            <w:tcW w:w="1583" w:type="dxa"/>
          </w:tcPr>
          <w:p>
            <w:pPr/>
            <w:r>
              <w:t xml:space="preserve">19-20 ottobre</w:t>
            </w:r>
          </w:p>
        </w:tc>
      </w:tr>
      <w:tr>
        <w:tc>
          <w:tcPr>
            <w:tcW w:w="1669" w:type="dxa"/>
          </w:tcPr>
          <w:p>
            <w:pPr/>
            <w:r>
              <w:t xml:space="preserve">kosgroup.com</w:t>
            </w:r>
          </w:p>
        </w:tc>
        <w:tc>
          <w:tcPr>
            <w:tcW w:w="1719" w:type="dxa"/>
          </w:tcPr>
          <w:p>
            <w:pPr/>
            <w:r>
              <w:t xml:space="preserve">4 · Redirect dei domini storici</w:t>
            </w:r>
          </w:p>
        </w:tc>
        <w:tc>
          <w:tcPr>
            <w:tcW w:w="3044" w:type="dxa"/>
          </w:tcPr>
          <w:p>
            <w:pPr/>
            <w:r>
              <w:t xml:space="preserve">Redirect 301 già attivi su tutti e cinque i domini: verificati</w:t>
            </w:r>
          </w:p>
        </w:tc>
        <w:tc>
          <w:tcPr>
            <w:tcW w:w="1345" w:type="dxa"/>
          </w:tcPr>
          <w:p>
            <w:pPr/>
            <w:r>
              <w:t xml:space="preserve">Chiusa, già a posto</w:t>
            </w:r>
          </w:p>
        </w:tc>
        <w:tc>
          <w:tcPr>
            <w:tcW w:w="1583" w:type="dxa"/>
          </w:tcPr>
          <w:p>
            <w:pPr/>
            <w:r>
              <w:t xml:space="preserve">19 ottobre</w:t>
            </w:r>
          </w:p>
        </w:tc>
      </w:tr>
      <w:tr>
        <w:tc>
          <w:tcPr>
            <w:tcW w:w="1669" w:type="dxa"/>
          </w:tcPr>
          <w:p>
            <w:pPr/>
            <w:r>
              <w:t xml:space="preserve">kosgroup.com</w:t>
            </w:r>
          </w:p>
        </w:tc>
        <w:tc>
          <w:tcPr>
            <w:tcW w:w="1719" w:type="dxa"/>
          </w:tcPr>
          <w:p>
            <w:pPr/>
            <w:r>
              <w:t xml:space="preserve">6 · Accessibilità bot AI</w:t>
            </w:r>
          </w:p>
        </w:tc>
        <w:tc>
          <w:tcPr>
            <w:tcW w:w="3044" w:type="dxa"/>
          </w:tcPr>
          <w:p>
            <w:pPr/>
            <w:r>
              <w:t xml:space="preserve">Test con gli user agent e controllo del log sugli IP ufficiali</w:t>
            </w:r>
          </w:p>
        </w:tc>
        <w:tc>
          <w:tcPr>
            <w:tcW w:w="1345" w:type="dxa"/>
          </w:tcPr>
          <w:p>
            <w:pPr/>
            <w:r>
              <w:t xml:space="preserve">Chiusa, già a posto</w:t>
            </w:r>
          </w:p>
        </w:tc>
        <w:tc>
          <w:tcPr>
            <w:tcW w:w="1583" w:type="dxa"/>
          </w:tcPr>
          <w:p>
            <w:pPr/>
            <w:r>
              <w:t xml:space="preserve">20 ottobre</w:t>
            </w:r>
          </w:p>
        </w:tc>
      </w:tr>
      <w:tr>
        <w:tc>
          <w:tcPr>
            <w:tcW w:w="1669" w:type="dxa"/>
          </w:tcPr>
          <w:p>
            <w:pPr/>
            <w:r>
              <w:t xml:space="preserve">kosgroup.com</w:t>
            </w:r>
          </w:p>
        </w:tc>
        <w:tc>
          <w:tcPr>
            <w:tcW w:w="1719" w:type="dxa"/>
          </w:tcPr>
          <w:p>
            <w:pPr/>
            <w:r>
              <w:t xml:space="preserve">18 · llms.txt</w:t>
            </w:r>
          </w:p>
        </w:tc>
        <w:tc>
          <w:tcPr>
            <w:tcW w:w="3044" w:type="dxa"/>
          </w:tcPr>
          <w:p>
            <w:pPr/>
            <w:r>
              <w:t xml:space="preserve">File pubblicato nella radice, UTF-8</w:t>
            </w:r>
          </w:p>
        </w:tc>
        <w:tc>
          <w:tcPr>
            <w:tcW w:w="1345" w:type="dxa"/>
          </w:tcPr>
          <w:p>
            <w:pPr/>
            <w:r>
              <w:t xml:space="preserve">Da approvare</w:t>
            </w:r>
          </w:p>
        </w:tc>
        <w:tc>
          <w:tcPr>
            <w:tcW w:w="1583" w:type="dxa"/>
          </w:tcPr>
          <w:p>
            <w:pPr/>
            <w:r>
              <w:t xml:space="preserve">19 ottobre</w:t>
            </w:r>
          </w:p>
        </w:tc>
      </w:tr>
      <w:tr>
        <w:tc>
          <w:tcPr>
            <w:tcW w:w="1669" w:type="dxa"/>
          </w:tcPr>
          <w:p>
            <w:pPr/>
            <w:r>
              <w:t xml:space="preserve">kosgroup.com</w:t>
            </w:r>
          </w:p>
        </w:tc>
        <w:tc>
          <w:tcPr>
            <w:tcW w:w="1719" w:type="dxa"/>
          </w:tcPr>
          <w:p>
            <w:pPr/>
            <w:r>
              <w:t xml:space="preserve">19 · robots.txt</w:t>
            </w:r>
          </w:p>
        </w:tc>
        <w:tc>
          <w:tcPr>
            <w:tcW w:w="3044" w:type="dxa"/>
          </w:tcPr>
          <w:p>
            <w:pPr/>
            <w:r>
              <w:t xml:space="preserve">Crawl-delay rimosso, regole Disallow corrette</w:t>
            </w:r>
          </w:p>
        </w:tc>
        <w:tc>
          <w:tcPr>
            <w:tcW w:w="1345" w:type="dxa"/>
          </w:tcPr>
          <w:p>
            <w:pPr/>
            <w:r>
              <w:t xml:space="preserve">In produzione</w:t>
            </w:r>
          </w:p>
        </w:tc>
        <w:tc>
          <w:tcPr>
            <w:tcW w:w="1583" w:type="dxa"/>
          </w:tcPr>
          <w:p>
            <w:pPr/>
            <w:r>
              <w:t xml:space="preserve">19 ottobre</w:t>
            </w:r>
          </w:p>
        </w:tc>
      </w:tr>
      <w:tr>
        <w:tc>
          <w:tcPr>
            <w:tcW w:w="1669" w:type="dxa"/>
          </w:tcPr>
          <w:p>
            <w:pPr/>
            <w:r>
              <w:t xml:space="preserve">anniazzurri.it</w:t>
            </w:r>
          </w:p>
        </w:tc>
        <w:tc>
          <w:tcPr>
            <w:tcW w:w="1719" w:type="dxa"/>
          </w:tcPr>
          <w:p>
            <w:pPr/>
            <w:r>
              <w:t xml:space="preserve">7 · Canonical duplicato</w:t>
            </w:r>
          </w:p>
        </w:tc>
        <w:tc>
          <w:tcPr>
            <w:tcW w:w="3044" w:type="dxa"/>
          </w:tcPr>
          <w:p>
            <w:pPr/>
            <w:r>
              <w:t xml:space="preserve">Un solo canonical lato server: verificato</w:t>
            </w:r>
          </w:p>
        </w:tc>
        <w:tc>
          <w:tcPr>
            <w:tcW w:w="1345" w:type="dxa"/>
          </w:tcPr>
          <w:p>
            <w:pPr/>
            <w:r>
              <w:t xml:space="preserve">Chiusa, già a posto</w:t>
            </w:r>
          </w:p>
        </w:tc>
        <w:tc>
          <w:tcPr>
            <w:tcW w:w="1583" w:type="dxa"/>
          </w:tcPr>
          <w:p>
            <w:pPr/>
            <w:r>
              <w:t xml:space="preserve">19 ottobre</w:t>
            </w:r>
          </w:p>
        </w:tc>
      </w:tr>
      <w:tr>
        <w:tc>
          <w:tcPr>
            <w:tcW w:w="1669" w:type="dxa"/>
          </w:tcPr>
          <w:p>
            <w:pPr/>
            <w:r>
              <w:t xml:space="preserve">anniazzurri.it</w:t>
            </w:r>
          </w:p>
        </w:tc>
        <w:tc>
          <w:tcPr>
            <w:tcW w:w="1719" w:type="dxa"/>
          </w:tcPr>
          <w:p>
            <w:pPr/>
            <w:r>
              <w:t xml:space="preserve">8 · Ente e percorsi di navigazione</w:t>
            </w:r>
          </w:p>
        </w:tc>
        <w:tc>
          <w:tcPr>
            <w:tcW w:w="3044" w:type="dxa"/>
          </w:tcPr>
          <w:p>
            <w:pPr/>
            <w:r>
              <w:t xml:space="preserve">Un solo </w:t>
            </w:r>
            <w:r>
              <w:rPr>
                <w:rStyle w:val="CodeChar"/>
              </w:rPr>
              <w:t xml:space="preserve">@graph</w:t>
            </w:r>
            <w:r>
              <w:t xml:space="preserve"> JSON-LD per pagina: ente KOS Care e briciole complete</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14 · Cache delle risorse statiche</w:t>
            </w:r>
          </w:p>
        </w:tc>
        <w:tc>
          <w:tcPr>
            <w:tcW w:w="3044" w:type="dxa"/>
          </w:tcPr>
          <w:p>
            <w:pPr/>
            <w:r>
              <w:t xml:space="preserve">Come kosgroup.com (anticipata dallo sprint 4)</w:t>
            </w:r>
          </w:p>
        </w:tc>
        <w:tc>
          <w:tcPr>
            <w:tcW w:w="1345" w:type="dxa"/>
          </w:tcPr>
          <w:p>
            <w:pPr/>
            <w:r>
              <w:t xml:space="preserve">In produzione</w:t>
            </w:r>
          </w:p>
        </w:tc>
        <w:tc>
          <w:tcPr>
            <w:tcW w:w="1583" w:type="dxa"/>
          </w:tcPr>
          <w:p>
            <w:pPr/>
            <w:r>
              <w:t xml:space="preserve">19-20 ottobre</w:t>
            </w:r>
          </w:p>
        </w:tc>
      </w:tr>
      <w:tr>
        <w:tc>
          <w:tcPr>
            <w:tcW w:w="1669" w:type="dxa"/>
          </w:tcPr>
          <w:p>
            <w:pPr/>
            <w:r>
              <w:t xml:space="preserve">anniazzurri.it</w:t>
            </w:r>
          </w:p>
        </w:tc>
        <w:tc>
          <w:tcPr>
            <w:tcW w:w="1719" w:type="dxa"/>
          </w:tcPr>
          <w:p>
            <w:pPr/>
            <w:r>
              <w:t xml:space="preserve">18 · Titoli H1 mancanti</w:t>
            </w:r>
          </w:p>
        </w:tc>
        <w:tc>
          <w:tcPr>
            <w:tcW w:w="3044" w:type="dxa"/>
          </w:tcPr>
          <w:p>
            <w:pPr/>
            <w:r>
              <w:t xml:space="preserve">H1 su home e galleria del convegno 2025</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19 · Accessibilità bot AI</w:t>
            </w:r>
          </w:p>
        </w:tc>
        <w:tc>
          <w:tcPr>
            <w:tcW w:w="3044" w:type="dxa"/>
          </w:tcPr>
          <w:p>
            <w:pPr/>
            <w:r>
              <w:t xml:space="preserve">Come kosgroup.com</w:t>
            </w:r>
          </w:p>
        </w:tc>
        <w:tc>
          <w:tcPr>
            <w:tcW w:w="1345" w:type="dxa"/>
          </w:tcPr>
          <w:p>
            <w:pPr/>
            <w:r>
              <w:t xml:space="preserve">Chiusa, già a posto</w:t>
            </w:r>
          </w:p>
        </w:tc>
        <w:tc>
          <w:tcPr>
            <w:tcW w:w="1583" w:type="dxa"/>
          </w:tcPr>
          <w:p>
            <w:pPr/>
            <w:r>
              <w:t xml:space="preserve">20 ottobre</w:t>
            </w:r>
          </w:p>
        </w:tc>
      </w:tr>
    </w:tbl>
    <w:p>
      <w:pPr>
        <w:pStyle w:val="Heading2"/>
      </w:pPr>
      <w:r>
        <w:t xml:space="preserve">kosgroup.com</w:t>
      </w:r>
    </w:p>
    <w:p>
      <w:pPr/>
      <w:r>
        <w:t xml:space="preserve">Su kosgroup.com quattro voci sono chiuse e una (6, bot AI) è nella sezione dedicata. Tutte le modifiche sono in produzione e passano dalle regole web di nginx o da file statici: nessun contenuto è stato toccato.</w:t>
      </w:r>
    </w:p>
    <w:tbl>
      <w:tblPr>
        <w:tblStyle w:val="TableGrid"/>
        <w:tblW w:w="0" w:type="auto"/>
        <w:tblLayout w:type="fixed"/>
        <w:tblLook w:val="04A0" w:firstRow="1" w:lastRow="0" w:firstColumn="0" w:lastColumn="0" w:noHBand="0" w:noVBand="1"/>
      </w:tblPr>
      <w:tblGrid>
        <w:gridCol w:w="2244"/>
        <w:gridCol w:w="3996"/>
        <w:gridCol w:w="3120"/>
      </w:tblGrid>
      <w:tr>
        <w:trPr>
          <w:tblHeader/>
        </w:trPr>
        <w:tc>
          <w:tcPr>
            <w:tcW w:w="2244" w:type="dxa"/>
            <w:shd w:val="clear" w:color="auto" w:fill="F2F2F2"/>
          </w:tcPr>
          <w:p>
            <w:pPr/>
            <w:r>
              <w:t xml:space="preserve">Voce</w:t>
            </w:r>
          </w:p>
        </w:tc>
        <w:tc>
          <w:tcPr>
            <w:tcW w:w="3996" w:type="dxa"/>
            <w:shd w:val="clear" w:color="auto" w:fill="F2F2F2"/>
          </w:tcPr>
          <w:p>
            <w:pPr/>
            <w:r>
              <w:t xml:space="preserve">Intervento</w:t>
            </w:r>
          </w:p>
        </w:tc>
        <w:tc>
          <w:tcPr>
            <w:tcW w:w="3120" w:type="dxa"/>
            <w:shd w:val="clear" w:color="auto" w:fill="F2F2F2"/>
          </w:tcPr>
          <w:p>
            <w:pPr/>
            <w:r>
              <w:t xml:space="preserve">Come verificare</w:t>
            </w:r>
          </w:p>
        </w:tc>
      </w:tr>
      <w:tr>
        <w:tc>
          <w:tcPr>
            <w:tcW w:w="2244" w:type="dxa"/>
          </w:tcPr>
          <w:p>
            <w:pPr/>
            <w:r>
              <w:t xml:space="preserve">3 · Cache</w:t>
            </w:r>
          </w:p>
        </w:tc>
        <w:tc>
          <w:tcPr>
            <w:tcW w:w="3996" w:type="dxa"/>
          </w:tcPr>
          <w:p>
            <w:pPr/>
            <w:r>
              <w:t xml:space="preserve">Regole web: immagini e video 180 giorni, font 365 giorni, CSS e JS 180 giorni. Un plugin aggiunge a ogni CSS e JS locale </w:t>
            </w:r>
            <w:r>
              <w:rPr>
                <w:rStyle w:val="CodeChar"/>
              </w:rPr>
              <w:t xml:space="preserve">?v=</w:t>
            </w:r>
            <w:r>
              <w:t xml:space="preserve"> con la data del file, così una modifica raggiunge subito i visitatori anche con la cache lunga.</w:t>
            </w:r>
          </w:p>
        </w:tc>
        <w:tc>
          <w:tcPr>
            <w:tcW w:w="3120" w:type="dxa"/>
          </w:tcPr>
          <w:p>
            <w:pPr/>
            <w:r>
              <w:t xml:space="preserve">Intestazione </w:t>
            </w:r>
            <w:r>
              <w:rPr>
                <w:rStyle w:val="CodeChar"/>
              </w:rPr>
              <w:t xml:space="preserve">Cache-Control: max-age=15552000</w:t>
            </w:r>
            <w:r>
              <w:t xml:space="preserve"> su </w:t>
            </w:r>
            <w:r>
              <w:rPr>
                <w:rStyle w:val="CodeChar"/>
              </w:rPr>
              <w:t xml:space="preserve">https://kosgroup.com/assets/css/bootstrap.min.css</w:t>
            </w:r>
            <w:r>
              <w:t xml:space="preserve">; nel sorgente di </w:t>
            </w:r>
            <w:r>
              <w:rPr>
                <w:rStyle w:val="CodeChar"/>
              </w:rPr>
              <w:t xml:space="preserve">https://kosgroup.com/it</w:t>
            </w:r>
            <w:r>
              <w:t xml:space="preserve"> i CSS e JS terminano con </w:t>
            </w:r>
            <w:r>
              <w:rPr>
                <w:rStyle w:val="CodeChar"/>
              </w:rPr>
              <w:t xml:space="preserve">?v=</w:t>
            </w:r>
            <w:r>
              <w:t xml:space="preserve"> e un numero.</w:t>
            </w:r>
          </w:p>
        </w:tc>
      </w:tr>
      <w:tr>
        <w:tc>
          <w:tcPr>
            <w:tcW w:w="2244" w:type="dxa"/>
          </w:tcPr>
          <w:p>
            <w:pPr/>
            <w:r>
              <w:t xml:space="preserve">4 · Domini storici</w:t>
            </w:r>
          </w:p>
        </w:tc>
        <w:tc>
          <w:tcPr>
            <w:tcW w:w="3996" w:type="dxa"/>
          </w:tcPr>
          <w:p>
            <w:pPr/>
            <w:r>
              <w:t xml:space="preserve">Già a posto prima dell'avvio. Un solo redirect 301 verso la pagina corrispondente, su https, https://www e http: polodiagnostico.it → </w:t>
            </w:r>
            <w:r>
              <w:rPr>
                <w:rStyle w:val="CodeChar"/>
              </w:rPr>
              <w:t xml:space="preserve">/it/strutture/poliambulatori</w:t>
            </w:r>
            <w:r>
              <w:t xml:space="preserve">, neomesia.com → </w:t>
            </w:r>
            <w:r>
              <w:rPr>
                <w:rStyle w:val="CodeChar"/>
              </w:rPr>
              <w:t xml:space="preserve">/it/strutture/cliniche-psichiatriche</w:t>
            </w:r>
            <w:r>
              <w:t xml:space="preserve">, sstefano.it → </w:t>
            </w:r>
            <w:r>
              <w:rPr>
                <w:rStyle w:val="CodeChar"/>
              </w:rPr>
              <w:t xml:space="preserve">/it/strutture/centri-riabilitazione</w:t>
            </w:r>
            <w:r>
              <w:t xml:space="preserve">, myolab.it → </w:t>
            </w:r>
            <w:r>
              <w:rPr>
                <w:rStyle w:val="CodeChar"/>
              </w:rPr>
              <w:t xml:space="preserve">/it/centri/myolab</w:t>
            </w:r>
            <w:r>
              <w:t xml:space="preserve">, casadicuravillapini.it → </w:t>
            </w:r>
            <w:r>
              <w:rPr>
                <w:rStyle w:val="CodeChar"/>
              </w:rPr>
              <w:t xml:space="preserve">/it/centri/villa-dei-pini-civitanova</w:t>
            </w:r>
            <w:r>
              <w:t xml:space="preserve">.</w:t>
            </w:r>
          </w:p>
        </w:tc>
        <w:tc>
          <w:tcPr>
            <w:tcW w:w="3120" w:type="dxa"/>
          </w:tcPr>
          <w:p>
            <w:pPr/>
            <w:r>
              <w:rPr>
                <w:rStyle w:val="CodeChar"/>
              </w:rPr>
              <w:t xml:space="preserve">curl -sIL https://polodiagnostico.it</w:t>
            </w:r>
            <w:r>
              <w:t xml:space="preserve"> (e gli altri): un 301, poi 200.</w:t>
            </w:r>
          </w:p>
        </w:tc>
      </w:tr>
      <w:tr>
        <w:tc>
          <w:tcPr>
            <w:tcW w:w="2244" w:type="dxa"/>
          </w:tcPr>
          <w:p>
            <w:pPr/>
            <w:r>
              <w:t xml:space="preserve">6 · Bot AI</w:t>
            </w:r>
          </w:p>
        </w:tc>
        <w:tc>
          <w:tcPr>
            <w:tcW w:w="3996" w:type="dxa"/>
          </w:tcPr>
          <w:p>
            <w:pPr/>
            <w:r>
              <w:t xml:space="preserve">Vedi «Accesso dei crawler AI».</w:t>
            </w:r>
          </w:p>
        </w:tc>
        <w:tc>
          <w:tcPr>
            <w:tcW w:w="3120" w:type="dxa"/>
          </w:tcPr>
          <w:p>
            <w:pPr/>
          </w:p>
        </w:tc>
      </w:tr>
      <w:tr>
        <w:tc>
          <w:tcPr>
            <w:tcW w:w="2244" w:type="dxa"/>
          </w:tcPr>
          <w:p>
            <w:pPr/>
            <w:r>
              <w:t xml:space="preserve">18 · llms.txt</w:t>
            </w:r>
          </w:p>
        </w:tc>
        <w:tc>
          <w:tcPr>
            <w:tcW w:w="3996" w:type="dxa"/>
          </w:tcPr>
          <w:p>
            <w:pPr/>
            <w:r>
              <w:t xml:space="preserve">File nel formato llmstxt.org: sintesi del gruppo e 79 link alle pagine principali (aree di cura, strutture, contatti), servito come </w:t>
            </w:r>
            <w:r>
              <w:rPr>
                <w:rStyle w:val="CodeChar"/>
              </w:rPr>
              <w:t xml:space="preserve">text/plain; charset=utf-8</w:t>
            </w:r>
            <w:r>
              <w:t xml:space="preserve">. Testo della sintesi da approvare.</w:t>
            </w:r>
          </w:p>
        </w:tc>
        <w:tc>
          <w:tcPr>
            <w:tcW w:w="3120" w:type="dxa"/>
          </w:tcPr>
          <w:p>
            <w:pPr/>
            <w:r>
              <w:rPr>
                <w:rStyle w:val="CodeChar"/>
              </w:rPr>
              <w:t xml:space="preserve">https://kosgroup.com/llms.txt</w:t>
            </w:r>
          </w:p>
        </w:tc>
      </w:tr>
      <w:tr>
        <w:tc>
          <w:tcPr>
            <w:tcW w:w="2244" w:type="dxa"/>
          </w:tcPr>
          <w:p>
            <w:pPr/>
            <w:r>
              <w:t xml:space="preserve">19 · robots.txt</w:t>
            </w:r>
          </w:p>
        </w:tc>
        <w:tc>
          <w:tcPr>
            <w:tcW w:w="3996" w:type="dxa"/>
          </w:tcPr>
          <w:p>
            <w:pPr/>
            <w:r>
              <w:t xml:space="preserve">Tolto il </w:t>
            </w:r>
            <w:r>
              <w:rPr>
                <w:rStyle w:val="CodeChar"/>
              </w:rPr>
              <w:t xml:space="preserve">Crawl-delay</w:t>
            </w:r>
            <w:r>
              <w:t xml:space="preserve"> per Bingbot. Le regole </w:t>
            </w:r>
            <w:r>
              <w:rPr>
                <w:rStyle w:val="CodeChar"/>
              </w:rPr>
              <w:t xml:space="preserve">Disallow</w:t>
            </w:r>
            <w:r>
              <w:t xml:space="preserve"> sui parametri </w:t>
            </w:r>
            <w:r>
              <w:rPr>
                <w:rStyle w:val="CodeChar"/>
              </w:rPr>
              <w:t xml:space="preserve">query</w:t>
            </w:r>
            <w:r>
              <w:t xml:space="preserve"> e </w:t>
            </w:r>
            <w:r>
              <w:rPr>
                <w:rStyle w:val="CodeChar"/>
              </w:rPr>
              <w:t xml:space="preserve">formId</w:t>
            </w:r>
            <w:r>
              <w:t xml:space="preserve"> ora iniziano con </w:t>
            </w:r>
            <w:r>
              <w:rPr>
                <w:rStyle w:val="CodeChar"/>
              </w:rPr>
              <w:t xml:space="preserve">/</w:t>
            </w:r>
            <w:r>
              <w:t xml:space="preserve">, come richiedono lo standard (RFC 9309) e Google; nella forma precedente alcuni crawler potevano ignorarle. Un solo gruppo </w:t>
            </w:r>
            <w:r>
              <w:rPr>
                <w:rStyle w:val="CodeChar"/>
              </w:rPr>
              <w:t xml:space="preserve">User-agent: *</w:t>
            </w:r>
            <w:r>
              <w:t xml:space="preserve">, che ammette tutti i crawler AI.</w:t>
            </w:r>
          </w:p>
        </w:tc>
        <w:tc>
          <w:tcPr>
            <w:tcW w:w="3120" w:type="dxa"/>
          </w:tcPr>
          <w:p>
            <w:pPr/>
            <w:r>
              <w:rPr>
                <w:rStyle w:val="CodeChar"/>
              </w:rPr>
              <w:t xml:space="preserve">https://kosgroup.com/robots.txt</w:t>
            </w:r>
          </w:p>
        </w:tc>
      </w:tr>
    </w:tbl>
    <w:p>
      <w:pPr>
        <w:pStyle w:val="Heading2"/>
      </w:pPr>
      <w:r>
        <w:t xml:space="preserve">anniazzurri.it</w:t>
      </w:r>
    </w:p>
    <w:p>
      <w:pPr/>
      <w:r>
        <w:t xml:space="preserve">Su anniazzurri.it il cambiamento principale è il dato strutturato (voce 8): ogni pagina emette un solo </w:t>
      </w:r>
      <w:r>
        <w:rPr>
          <w:rStyle w:val="CodeChar"/>
        </w:rPr>
        <w:t xml:space="preserve">@graph</w:t>
      </w:r>
      <w:r>
        <w:t xml:space="preserve"> dal server, al posto dei tre blocchi scritti a mano nel footer. La voce 7 risultava già risolta.</w:t>
      </w:r>
    </w:p>
    <w:tbl>
      <w:tblPr>
        <w:tblStyle w:val="TableGrid"/>
        <w:tblW w:w="0" w:type="auto"/>
        <w:tblLayout w:type="fixed"/>
        <w:tblLook w:val="04A0" w:firstRow="1" w:lastRow="0" w:firstColumn="0" w:lastColumn="0" w:noHBand="0" w:noVBand="1"/>
      </w:tblPr>
      <w:tblGrid>
        <w:gridCol w:w="1464"/>
        <w:gridCol w:w="4776"/>
        <w:gridCol w:w="3120"/>
      </w:tblGrid>
      <w:tr>
        <w:trPr>
          <w:tblHeader/>
        </w:trPr>
        <w:tc>
          <w:tcPr>
            <w:tcW w:w="1464" w:type="dxa"/>
            <w:shd w:val="clear" w:color="auto" w:fill="F2F2F2"/>
          </w:tcPr>
          <w:p>
            <w:pPr/>
            <w:r>
              <w:t xml:space="preserve">Voce</w:t>
            </w:r>
          </w:p>
        </w:tc>
        <w:tc>
          <w:tcPr>
            <w:tcW w:w="4776" w:type="dxa"/>
            <w:shd w:val="clear" w:color="auto" w:fill="F2F2F2"/>
          </w:tcPr>
          <w:p>
            <w:pPr/>
            <w:r>
              <w:t xml:space="preserve">Intervento</w:t>
            </w:r>
          </w:p>
        </w:tc>
        <w:tc>
          <w:tcPr>
            <w:tcW w:w="3120" w:type="dxa"/>
            <w:shd w:val="clear" w:color="auto" w:fill="F2F2F2"/>
          </w:tcPr>
          <w:p>
            <w:pPr/>
            <w:r>
              <w:t xml:space="preserve">Come verificare</w:t>
            </w:r>
          </w:p>
        </w:tc>
      </w:tr>
      <w:tr>
        <w:tc>
          <w:tcPr>
            <w:tcW w:w="1464" w:type="dxa"/>
          </w:tcPr>
          <w:p>
            <w:pPr/>
            <w:r>
              <w:t xml:space="preserve">7 · Canonical duplicato</w:t>
            </w:r>
          </w:p>
        </w:tc>
        <w:tc>
          <w:tcPr>
            <w:tcW w:w="4776" w:type="dxa"/>
          </w:tcPr>
          <w:p>
            <w:pPr/>
            <w:r>
              <w:t xml:space="preserve">Già risolta prima dell'avvio. Nell'HTML servito c'è un solo canonical, assoluto, https, senza www, nella forma canonica del sito. Verificato su 8 pagine di tipo diverso.</w:t>
            </w:r>
          </w:p>
        </w:tc>
        <w:tc>
          <w:tcPr>
            <w:tcW w:w="3120" w:type="dxa"/>
          </w:tcPr>
          <w:p>
            <w:pPr/>
            <w:r>
              <w:t xml:space="preserve">Sorgente (Ctrl+U) di una residenza: un solo </w:t>
            </w:r>
            <w:r>
              <w:rPr>
                <w:rStyle w:val="CodeChar"/>
              </w:rPr>
              <w:t xml:space="preserve">rel="canonical"</w:t>
            </w:r>
            <w:r>
              <w:t xml:space="preserve">.</w:t>
            </w:r>
          </w:p>
        </w:tc>
      </w:tr>
      <w:tr>
        <w:tc>
          <w:tcPr>
            <w:tcW w:w="1464" w:type="dxa"/>
          </w:tcPr>
          <w:p>
            <w:pPr/>
            <w:r>
              <w:t xml:space="preserve">8 · Ente e percorsi di navigazione</w:t>
            </w:r>
          </w:p>
        </w:tc>
        <w:tc>
          <w:tcPr>
            <w:tcW w:w="4776" w:type="dxa"/>
          </w:tcPr>
          <w:p>
            <w:pPr/>
            <w:r>
              <w:t xml:space="preserve">Organization di KOS Care S.r.l. con </w:t>
            </w:r>
            <w:r>
              <w:rPr>
                <w:rStyle w:val="CodeChar"/>
              </w:rPr>
              <w:t xml:space="preserve">@id</w:t>
            </w:r>
            <w:r>
              <w:t xml:space="preserve">, ragione sociale, partita IVA, logo PNG, telefono, profili social e </w:t>
            </w:r>
            <w:r>
              <w:rPr>
                <w:rStyle w:val="CodeChar"/>
              </w:rPr>
              <w:t xml:space="preserve">parentOrganization</w:t>
            </w:r>
            <w:r>
              <w:t xml:space="preserve"> verso KOS S.p.A. (mai </w:t>
            </w:r>
            <w:r>
              <w:rPr>
                <w:rStyle w:val="CodeChar"/>
              </w:rPr>
              <w:t xml:space="preserve">sameAs</w:t>
            </w:r>
            <w:r>
              <w:t xml:space="preserve">). WebSite e WebPage collegati per </w:t>
            </w:r>
            <w:r>
              <w:rPr>
                <w:rStyle w:val="CodeChar"/>
              </w:rPr>
              <w:t xml:space="preserve">@id</w:t>
            </w:r>
            <w:r>
              <w:t xml:space="preserve">. BreadcrumbList su tutte le pagine tranne la home, con tutti i livelli (Home › Regione › Provincia › Residenza), identica alle briciole visibili e all'esempio della slide 35. Collegato anche il dato dello Sportello sociale (Service e FAQ), prima non emesso.</w:t>
            </w:r>
          </w:p>
        </w:tc>
        <w:tc>
          <w:tcPr>
            <w:tcW w:w="3120" w:type="dxa"/>
          </w:tcPr>
          <w:p>
            <w:pPr/>
            <w:r>
              <w:t xml:space="preserve">Vico Mercati: </w:t>
            </w:r>
            <w:r>
              <w:rPr>
                <w:rStyle w:val="CodeChar"/>
              </w:rPr>
              <w:t xml:space="preserve">https://anniazzurri.it/residenza-anni-azzurri-vico-mercati</w:t>
            </w:r>
            <w:r>
              <w:t xml:space="preserve"> su validator.schema.org (0 errori, 0 avvisi) e Rich Results Test (Breadcrumb e Organizzazione validi).</w:t>
            </w:r>
          </w:p>
        </w:tc>
      </w:tr>
      <w:tr>
        <w:tc>
          <w:tcPr>
            <w:tcW w:w="1464" w:type="dxa"/>
          </w:tcPr>
          <w:p>
            <w:pPr/>
            <w:r>
              <w:t xml:space="preserve">14 · Cache</w:t>
            </w:r>
          </w:p>
        </w:tc>
        <w:tc>
          <w:tcPr>
            <w:tcW w:w="4776" w:type="dxa"/>
          </w:tcPr>
          <w:p>
            <w:pPr/>
            <w:r>
              <w:t xml:space="preserve">Come kosgroup.com: immagini 180 giorni, font 365 giorni, CSS e JS 180 giorni con versione automatica </w:t>
            </w:r>
            <w:r>
              <w:rPr>
                <w:rStyle w:val="CodeChar"/>
              </w:rPr>
              <w:t xml:space="preserve">?v=</w:t>
            </w:r>
            <w:r>
              <w:t xml:space="preserve">. Anticipata dallo sprint 4.</w:t>
            </w:r>
          </w:p>
        </w:tc>
        <w:tc>
          <w:tcPr>
            <w:tcW w:w="3120" w:type="dxa"/>
          </w:tcPr>
          <w:p>
            <w:pPr/>
            <w:r>
              <w:rPr>
                <w:rStyle w:val="CodeChar"/>
              </w:rPr>
              <w:t xml:space="preserve">Cache-Control: max-age=15552000</w:t>
            </w:r>
            <w:r>
              <w:t xml:space="preserve"> su </w:t>
            </w:r>
            <w:r>
              <w:rPr>
                <w:rStyle w:val="CodeChar"/>
              </w:rPr>
              <w:t xml:space="preserve">https://anniazzurri.it/dist/css/app.css</w:t>
            </w:r>
            <w:r>
              <w:t xml:space="preserve">.</w:t>
            </w:r>
          </w:p>
        </w:tc>
      </w:tr>
      <w:tr>
        <w:tc>
          <w:tcPr>
            <w:tcW w:w="1464" w:type="dxa"/>
          </w:tcPr>
          <w:p>
            <w:pPr/>
            <w:r>
              <w:t xml:space="preserve">18 · H1 mancanti</w:t>
            </w:r>
          </w:p>
        </w:tc>
        <w:tc>
          <w:tcPr>
            <w:tcW w:w="4776" w:type="dxa"/>
          </w:tcPr>
          <w:p>
            <w:pPr/>
            <w:r>
              <w:t xml:space="preserve">Home: H1 «RSA e case di riposo in Italia», il primo testo proposto dall'agenzia, sotto il carosello. Tolto un H1 nascosto aggiunto in passato, così ne resta uno solo. Galleria del convegno 2025: H1 con il titolo della pagina e un paragrafo introduttivo; aggiunti canonical e dato strutturato, che il suo template non aveva.</w:t>
            </w:r>
          </w:p>
        </w:tc>
        <w:tc>
          <w:tcPr>
            <w:tcW w:w="3120" w:type="dxa"/>
          </w:tcPr>
          <w:p>
            <w:pPr/>
            <w:r>
              <w:rPr>
                <w:rStyle w:val="CodeChar"/>
              </w:rPr>
              <w:t xml:space="preserve">https://anniazzurri.it/</w:t>
            </w:r>
            <w:r>
              <w:t xml:space="preserve"> e </w:t>
            </w:r>
            <w:r>
              <w:rPr>
                <w:rStyle w:val="CodeChar"/>
              </w:rPr>
              <w:t xml:space="preserve">https://anniazzurri.it/galleria-fotografica-convegno-anni-azzurri-2025</w:t>
            </w:r>
            <w:r>
              <w:t xml:space="preserve">: un solo </w:t>
            </w:r>
            <w:r>
              <w:rPr>
                <w:rStyle w:val="CodeChar"/>
              </w:rPr>
              <w:t xml:space="preserve">&lt;h1&gt;</w:t>
            </w:r>
            <w:r>
              <w:t xml:space="preserve">.</w:t>
            </w:r>
          </w:p>
        </w:tc>
      </w:tr>
      <w:tr>
        <w:tc>
          <w:tcPr>
            <w:tcW w:w="1464" w:type="dxa"/>
          </w:tcPr>
          <w:p>
            <w:pPr/>
            <w:r>
              <w:t xml:space="preserve">19 · Bot AI</w:t>
            </w:r>
          </w:p>
        </w:tc>
        <w:tc>
          <w:tcPr>
            <w:tcW w:w="4776" w:type="dxa"/>
          </w:tcPr>
          <w:p>
            <w:pPr/>
            <w:r>
              <w:t xml:space="preserve">Vedi «Accesso dei crawler AI».</w:t>
            </w:r>
          </w:p>
        </w:tc>
        <w:tc>
          <w:tcPr>
            <w:tcW w:w="3120" w:type="dxa"/>
          </w:tcPr>
          <w:p>
            <w:pPr/>
          </w:p>
        </w:tc>
      </w:tr>
    </w:tbl>
    <w:p>
      <w:pPr/>
      <w:r>
        <w:t xml:space="preserve">Tre pagine con dato specifico hanno ancora un blocco JSON-LD in più, che richiama l'ente per </w:t>
      </w:r>
      <w:r>
        <w:rPr>
          <w:rStyle w:val="CodeChar"/>
        </w:rPr>
        <w:t xml:space="preserve">@id</w:t>
      </w:r>
      <w:r>
        <w:t xml:space="preserve">: lo Sportello sociale e due pagine di lavoro. Questi blocchi confluiranno nel grafo unico in uno sprint successivo.</w:t>
      </w:r>
    </w:p>
    <w:p>
      <w:pPr>
        <w:pStyle w:val="Heading2"/>
      </w:pPr>
      <w:r>
        <w:t xml:space="preserve">Accesso dei crawler AI (KOS-6, AA-19)</w:t>
      </w:r>
    </w:p>
    <w:p>
      <w:pPr/>
      <w:r>
        <w:t xml:space="preserve">Nessuno dei due siti blocca i crawler AI: non li blocca il robots.txt, non li bloccano le regole del server, e il sistema anti-bot della piattaforma non ha mai fermato i loro IP ufficiali. Le verifiche sono del 20 ottobre 2026.</w:t>
      </w:r>
    </w:p>
    <w:p>
      <w:pPr>
        <w:pStyle w:val="ListParagraph"/>
        <w:numPr>
          <w:ilvl w:val="0"/>
          <w:numId w:val="2"/>
        </w:numPr>
      </w:pPr>
      <w:r>
        <w:rPr>
          <w:b/>
        </w:rPr>
        <w:t xml:space="preserve">robots.txt</w:t>
      </w:r>
      <w:r>
        <w:t xml:space="preserve">: un solo gruppo </w:t>
      </w:r>
      <w:r>
        <w:rPr>
          <w:rStyle w:val="CodeChar"/>
        </w:rPr>
        <w:t xml:space="preserve">User-agent: *</w:t>
      </w:r>
      <w:r>
        <w:t xml:space="preserve">, che non esclude nessun bot; nessun </w:t>
      </w:r>
      <w:r>
        <w:rPr>
          <w:rStyle w:val="CodeChar"/>
        </w:rPr>
        <w:t xml:space="preserve">Crawl-delay</w:t>
      </w:r>
      <w:r>
        <w:t xml:space="preserve">.</w:t>
      </w:r>
    </w:p>
    <w:p>
      <w:pPr>
        <w:pStyle w:val="ListParagraph"/>
        <w:numPr>
          <w:ilvl w:val="0"/>
          <w:numId w:val="2"/>
        </w:numPr>
      </w:pPr>
      <w:r>
        <w:rPr>
          <w:b/>
        </w:rPr>
        <w:t xml:space="preserve">Risposta agli user agent</w:t>
      </w:r>
      <w:r>
        <w:t xml:space="preserve">: GPTBot, OAI-SearchBot, ChatGPT-User, ClaudeBot, Claude-User, Claude-SearchBot, PerplexityBot, Perplexity-User e Bingbot su una pagina di ciascun sito. Tutte le 18 richieste rispondono 200, con la stessa pagina servita a un browser: 70.112 byte su anniazzurri.it, circa 88.300 su kosgroup.com.</w:t>
      </w:r>
    </w:p>
    <w:p>
      <w:pPr>
        <w:pStyle w:val="ListParagraph"/>
        <w:numPr>
          <w:ilvl w:val="0"/>
          <w:numId w:val="2"/>
        </w:numPr>
      </w:pPr>
      <w:r>
        <w:rPr>
          <w:b/>
        </w:rPr>
        <w:t xml:space="preserve">Log del server sugli IP ufficiali</w:t>
      </w:r>
      <w:r>
        <w:t xml:space="preserve">: gli elenchi pubblicati da OpenAI, Anthropic e Perplexity, scaricati il giorno stesso, confrontati con l'intero log degli errori di nginx (kosgroup.com da agosto 2024, anniazzurri.it da maggio 2022).</w:t>
      </w:r>
    </w:p>
    <w:tbl>
      <w:tblPr>
        <w:tblStyle w:val="TableGrid"/>
        <w:tblW w:w="0" w:type="auto"/>
        <w:tblLayout w:type="fixed"/>
        <w:tblLook w:val="04A0" w:firstRow="1" w:lastRow="0" w:firstColumn="0" w:lastColumn="0" w:noHBand="0" w:noVBand="1"/>
      </w:tblPr>
      <w:tblGrid>
        <w:gridCol w:w="4455"/>
        <w:gridCol w:w="1748"/>
        <w:gridCol w:w="1702"/>
        <w:gridCol w:w="1455"/>
      </w:tblGrid>
      <w:tr>
        <w:trPr>
          <w:tblHeader/>
        </w:trPr>
        <w:tc>
          <w:tcPr>
            <w:tcW w:w="4455" w:type="dxa"/>
            <w:shd w:val="clear" w:color="auto" w:fill="F2F2F2"/>
          </w:tcPr>
          <w:p>
            <w:pPr/>
            <w:r>
              <w:t xml:space="preserve">Bot (IP ufficiali)</w:t>
            </w:r>
          </w:p>
        </w:tc>
        <w:tc>
          <w:tcPr>
            <w:tcW w:w="1748" w:type="dxa"/>
            <w:shd w:val="clear" w:color="auto" w:fill="F2F2F2"/>
          </w:tcPr>
          <w:p>
            <w:pPr/>
            <w:r>
              <w:t xml:space="preserve">kosgroup.com: righe nel log</w:t>
            </w:r>
          </w:p>
        </w:tc>
        <w:tc>
          <w:tcPr>
            <w:tcW w:w="1702" w:type="dxa"/>
            <w:shd w:val="clear" w:color="auto" w:fill="F2F2F2"/>
          </w:tcPr>
          <w:p>
            <w:pPr/>
            <w:r>
              <w:t xml:space="preserve">anniazzurri.it: righe nel log</w:t>
            </w:r>
          </w:p>
        </w:tc>
        <w:tc>
          <w:tcPr>
            <w:tcW w:w="1455" w:type="dxa"/>
            <w:shd w:val="clear" w:color="auto" w:fill="F2F2F2"/>
          </w:tcPr>
          <w:p>
            <w:pPr/>
            <w:r>
              <w:t xml:space="preserve">Sfide o ban anti-bot, limiti di frequenza</w:t>
            </w:r>
          </w:p>
        </w:tc>
      </w:tr>
      <w:tr>
        <w:tc>
          <w:tcPr>
            <w:tcW w:w="4455" w:type="dxa"/>
          </w:tcPr>
          <w:p>
            <w:pPr/>
            <w:r>
              <w:t xml:space="preserve">OpenAI GPTBot</w:t>
            </w:r>
          </w:p>
        </w:tc>
        <w:tc>
          <w:tcPr>
            <w:tcW w:w="1748" w:type="dxa"/>
          </w:tcPr>
          <w:p>
            <w:pPr/>
            <w:r>
              <w:t xml:space="preserve">953</w:t>
            </w:r>
          </w:p>
        </w:tc>
        <w:tc>
          <w:tcPr>
            <w:tcW w:w="1702" w:type="dxa"/>
          </w:tcPr>
          <w:p>
            <w:pPr/>
            <w:r>
              <w:t xml:space="preserve">3.484</w:t>
            </w:r>
          </w:p>
        </w:tc>
        <w:tc>
          <w:tcPr>
            <w:tcW w:w="1455" w:type="dxa"/>
          </w:tcPr>
          <w:p>
            <w:pPr/>
            <w:r>
              <w:t xml:space="preserve">0</w:t>
            </w:r>
          </w:p>
        </w:tc>
      </w:tr>
      <w:tr>
        <w:tc>
          <w:tcPr>
            <w:tcW w:w="4455" w:type="dxa"/>
          </w:tcPr>
          <w:p>
            <w:pPr/>
            <w:r>
              <w:t xml:space="preserve">OpenAI OAI-SearchBot</w:t>
            </w:r>
          </w:p>
        </w:tc>
        <w:tc>
          <w:tcPr>
            <w:tcW w:w="1748" w:type="dxa"/>
          </w:tcPr>
          <w:p>
            <w:pPr/>
            <w:r>
              <w:t xml:space="preserve">2.816</w:t>
            </w:r>
          </w:p>
        </w:tc>
        <w:tc>
          <w:tcPr>
            <w:tcW w:w="1702" w:type="dxa"/>
          </w:tcPr>
          <w:p>
            <w:pPr/>
            <w:r>
              <w:t xml:space="preserve">1.960</w:t>
            </w:r>
          </w:p>
        </w:tc>
        <w:tc>
          <w:tcPr>
            <w:tcW w:w="1455" w:type="dxa"/>
          </w:tcPr>
          <w:p>
            <w:pPr/>
            <w:r>
              <w:t xml:space="preserve">0</w:t>
            </w:r>
          </w:p>
        </w:tc>
      </w:tr>
      <w:tr>
        <w:tc>
          <w:tcPr>
            <w:tcW w:w="4455" w:type="dxa"/>
          </w:tcPr>
          <w:p>
            <w:pPr/>
            <w:r>
              <w:t xml:space="preserve">OpenAI ChatGPT-User</w:t>
            </w:r>
          </w:p>
        </w:tc>
        <w:tc>
          <w:tcPr>
            <w:tcW w:w="1748" w:type="dxa"/>
          </w:tcPr>
          <w:p>
            <w:pPr/>
            <w:r>
              <w:t xml:space="preserve">11.492</w:t>
            </w:r>
          </w:p>
        </w:tc>
        <w:tc>
          <w:tcPr>
            <w:tcW w:w="1702" w:type="dxa"/>
          </w:tcPr>
          <w:p>
            <w:pPr/>
            <w:r>
              <w:t xml:space="preserve">5.367</w:t>
            </w:r>
          </w:p>
        </w:tc>
        <w:tc>
          <w:tcPr>
            <w:tcW w:w="1455" w:type="dxa"/>
          </w:tcPr>
          <w:p>
            <w:pPr/>
            <w:r>
              <w:t xml:space="preserve">0</w:t>
            </w:r>
          </w:p>
        </w:tc>
      </w:tr>
      <w:tr>
        <w:tc>
          <w:tcPr>
            <w:tcW w:w="4455" w:type="dxa"/>
          </w:tcPr>
          <w:p>
            <w:pPr/>
            <w:r>
              <w:t xml:space="preserve">Anthropic (ClaudeBot, Claude-User, Claude-SearchBot)</w:t>
            </w:r>
          </w:p>
        </w:tc>
        <w:tc>
          <w:tcPr>
            <w:tcW w:w="1748" w:type="dxa"/>
          </w:tcPr>
          <w:p>
            <w:pPr/>
            <w:r>
              <w:t xml:space="preserve">179</w:t>
            </w:r>
          </w:p>
        </w:tc>
        <w:tc>
          <w:tcPr>
            <w:tcW w:w="1702" w:type="dxa"/>
          </w:tcPr>
          <w:p>
            <w:pPr/>
            <w:r>
              <w:t xml:space="preserve">232</w:t>
            </w:r>
          </w:p>
        </w:tc>
        <w:tc>
          <w:tcPr>
            <w:tcW w:w="1455" w:type="dxa"/>
          </w:tcPr>
          <w:p>
            <w:pPr/>
            <w:r>
              <w:t xml:space="preserve">0</w:t>
            </w:r>
          </w:p>
        </w:tc>
      </w:tr>
      <w:tr>
        <w:tc>
          <w:tcPr>
            <w:tcW w:w="4455" w:type="dxa"/>
          </w:tcPr>
          <w:p>
            <w:pPr/>
            <w:r>
              <w:t xml:space="preserve">PerplexityBot</w:t>
            </w:r>
          </w:p>
        </w:tc>
        <w:tc>
          <w:tcPr>
            <w:tcW w:w="1748" w:type="dxa"/>
          </w:tcPr>
          <w:p>
            <w:pPr/>
            <w:r>
              <w:t xml:space="preserve">4.466</w:t>
            </w:r>
          </w:p>
        </w:tc>
        <w:tc>
          <w:tcPr>
            <w:tcW w:w="1702" w:type="dxa"/>
          </w:tcPr>
          <w:p>
            <w:pPr/>
            <w:r>
              <w:t xml:space="preserve">4.320</w:t>
            </w:r>
          </w:p>
        </w:tc>
        <w:tc>
          <w:tcPr>
            <w:tcW w:w="1455" w:type="dxa"/>
          </w:tcPr>
          <w:p>
            <w:pPr/>
            <w:r>
              <w:t xml:space="preserve">0</w:t>
            </w:r>
          </w:p>
        </w:tc>
      </w:tr>
      <w:tr>
        <w:tc>
          <w:tcPr>
            <w:tcW w:w="4455" w:type="dxa"/>
          </w:tcPr>
          <w:p>
            <w:pPr/>
            <w:r>
              <w:t xml:space="preserve">Perplexity-User</w:t>
            </w:r>
          </w:p>
        </w:tc>
        <w:tc>
          <w:tcPr>
            <w:tcW w:w="1748" w:type="dxa"/>
          </w:tcPr>
          <w:p>
            <w:pPr/>
            <w:r>
              <w:t xml:space="preserve">365</w:t>
            </w:r>
          </w:p>
        </w:tc>
        <w:tc>
          <w:tcPr>
            <w:tcW w:w="1702" w:type="dxa"/>
          </w:tcPr>
          <w:p>
            <w:pPr/>
            <w:r>
              <w:t xml:space="preserve">308</w:t>
            </w:r>
          </w:p>
        </w:tc>
        <w:tc>
          <w:tcPr>
            <w:tcW w:w="1455" w:type="dxa"/>
          </w:tcPr>
          <w:p>
            <w:pPr/>
            <w:r>
              <w:t xml:space="preserve">0</w:t>
            </w:r>
          </w:p>
        </w:tc>
      </w:tr>
    </w:tbl>
    <w:p>
      <w:pPr/>
      <w:r>
        <w:t xml:space="preserve">Le righe presenti non sono blocchi. Si dividono in tre gruppi:</w:t>
      </w:r>
    </w:p>
    <w:p>
      <w:pPr>
        <w:pStyle w:val="ListParagraph"/>
        <w:numPr>
          <w:ilvl w:val="0"/>
          <w:numId w:val="3"/>
        </w:numPr>
      </w:pPr>
      <w:r>
        <w:t xml:space="preserve">messaggi tecnici del server che non interrompono la richiesta (registrazione su syslog non riuscita, cache delle sessioni SSL piena);</w:t>
      </w:r>
    </w:p>
    <w:p>
      <w:pPr>
        <w:pStyle w:val="ListParagraph"/>
        <w:numPr>
          <w:ilvl w:val="0"/>
          <w:numId w:val="3"/>
        </w:numPr>
      </w:pPr>
      <w:r>
        <w:t xml:space="preserve">risposte 404 su file che non esistono più, soprattutto PDF e immagini di anniazzurri.it, da correggere nello sprint 2;</w:t>
      </w:r>
    </w:p>
    <w:p>
      <w:pPr>
        <w:pStyle w:val="ListParagraph"/>
        <w:numPr>
          <w:ilvl w:val="0"/>
          <w:numId w:val="3"/>
        </w:numPr>
      </w:pPr>
      <w:r>
        <w:t xml:space="preserve">timeout isolati: 30 in tutto, sui due siti e sull'intero periodo.</w:t>
      </w:r>
    </w:p>
    <w:p>
      <w:pPr/>
      <w:r>
        <w:t xml:space="preserve">L'unico accesso negato è una richiesta di Anthropic a </w:t>
      </w:r>
      <w:r>
        <w:rPr>
          <w:rStyle w:val="CodeChar"/>
        </w:rPr>
        <w:t xml:space="preserve">/core/docs/changelog.txt</w:t>
      </w:r>
      <w:r>
        <w:t xml:space="preserve"> su kosgroup.com: è un file interno del CMS, chiuso di proposito.</w:t>
      </w:r>
    </w:p>
    <w:p>
      <w:pPr/>
      <w:r>
        <w:t xml:space="preserve">Gli «Errore» su GPTBot e ClaudeBot nel test dell'audit Anni Azzurri, e gli errori di connessione nell'audit KosGroup, non trovano riscontro nei log. L'ipotesi più probabile è il sistema anti-bot della piattaforma, che sfida chi usa lo user agent di un bot da un IP non ufficiale. Il 17 ottobre ha bannato un IP che scansionava pagine reali di anniazzurri.it. Per chiudere il punto chiediamo all'agenzia lo strumento e l'IP usati per il test, così da ripeterlo o escludere quell'IP.</w:t>
      </w:r>
    </w:p>
    <w:p>
      <w:pPr/>
      <w:r>
        <w:t xml:space="preserve">Da segnalare all'hosting, insieme alle richieste già inviate il 19 ottobre: rotazione del log degli errori (4,8 GB su kosgroup.com e 2,7 GB su anniazzurri.it), attivazione del log degli accessi, syslog non raggiungibile e cache delle sessioni SSL.</w:t>
      </w:r>
    </w:p>
    <w:p>
      <w:pPr>
        <w:pStyle w:val="Heading2"/>
      </w:pPr>
      <w:r>
        <w:t xml:space="preserve">Interventi in più rispetto all'audit</w:t>
      </w:r>
    </w:p>
    <w:p>
      <w:pPr/>
      <w:r>
        <w:t xml:space="preserve">Durante lo sprint sono emersi cinque interventi fuori dalle voci d'audit, fatti senza costi aggiuntivi perché piccoli o necessari alle voci in corso.</w:t>
      </w:r>
    </w:p>
    <w:tbl>
      <w:tblPr>
        <w:tblStyle w:val="TableGrid"/>
        <w:tblW w:w="0" w:type="auto"/>
        <w:tblLayout w:type="fixed"/>
        <w:tblLook w:val="04A0" w:firstRow="1" w:lastRow="0" w:firstColumn="0" w:lastColumn="0" w:noHBand="0" w:noVBand="1"/>
      </w:tblPr>
      <w:tblGrid>
        <w:gridCol w:w="1669"/>
        <w:gridCol w:w="2356"/>
        <w:gridCol w:w="2995"/>
        <w:gridCol w:w="2340"/>
      </w:tblGrid>
      <w:tr>
        <w:trPr>
          <w:tblHeader/>
        </w:trPr>
        <w:tc>
          <w:tcPr>
            <w:tcW w:w="1669" w:type="dxa"/>
            <w:shd w:val="clear" w:color="auto" w:fill="F2F2F2"/>
          </w:tcPr>
          <w:p>
            <w:pPr/>
            <w:r>
              <w:t xml:space="preserve">Sito</w:t>
            </w:r>
          </w:p>
        </w:tc>
        <w:tc>
          <w:tcPr>
            <w:tcW w:w="2356" w:type="dxa"/>
            <w:shd w:val="clear" w:color="auto" w:fill="F2F2F2"/>
          </w:tcPr>
          <w:p>
            <w:pPr/>
            <w:r>
              <w:t xml:space="preserve">Intervento</w:t>
            </w:r>
          </w:p>
        </w:tc>
        <w:tc>
          <w:tcPr>
            <w:tcW w:w="2995" w:type="dxa"/>
            <w:shd w:val="clear" w:color="auto" w:fill="F2F2F2"/>
          </w:tcPr>
          <w:p>
            <w:pPr/>
            <w:r>
              <w:t xml:space="preserve">Perché</w:t>
            </w:r>
          </w:p>
        </w:tc>
        <w:tc>
          <w:tcPr>
            <w:tcW w:w="2340" w:type="dxa"/>
            <w:shd w:val="clear" w:color="auto" w:fill="F2F2F2"/>
          </w:tcPr>
          <w:p>
            <w:pPr/>
            <w:r>
              <w:t xml:space="preserve">Come verificare</w:t>
            </w:r>
          </w:p>
        </w:tc>
      </w:tr>
      <w:tr>
        <w:tc>
          <w:tcPr>
            <w:tcW w:w="1669" w:type="dxa"/>
          </w:tcPr>
          <w:p>
            <w:pPr/>
            <w:r>
              <w:t xml:space="preserve">kosgroup.com</w:t>
            </w:r>
          </w:p>
        </w:tc>
        <w:tc>
          <w:tcPr>
            <w:tcW w:w="2356" w:type="dxa"/>
          </w:tcPr>
          <w:p>
            <w:pPr/>
            <w:r>
              <w:t xml:space="preserve">Pagina «Pagina non trovata» come pagina d'errore</w:t>
            </w:r>
          </w:p>
        </w:tc>
        <w:tc>
          <w:tcPr>
            <w:tcW w:w="2995" w:type="dxa"/>
          </w:tcPr>
          <w:p>
            <w:pPr/>
            <w:r>
              <w:t xml:space="preserve">Una pagina inesistente rispondeva 301 verso </w:t>
            </w:r>
            <w:r>
              <w:rPr>
                <w:rStyle w:val="CodeChar"/>
              </w:rPr>
              <w:t xml:space="preserve">/it</w:t>
            </w:r>
            <w:r>
              <w:t xml:space="preserve"> e poi 200 (soft 404): ora risponde 404 direttamente</w:t>
            </w:r>
          </w:p>
        </w:tc>
        <w:tc>
          <w:tcPr>
            <w:tcW w:w="2340" w:type="dxa"/>
          </w:tcPr>
          <w:p>
            <w:pPr/>
            <w:r>
              <w:rPr>
                <w:rStyle w:val="CodeChar"/>
              </w:rPr>
              <w:t xml:space="preserve">curl -sI https://kosgroup.com/it/pagina-che-non-esiste</w:t>
            </w:r>
            <w:r>
              <w:t xml:space="preserve"> → 404</w:t>
            </w:r>
          </w:p>
        </w:tc>
      </w:tr>
      <w:tr>
        <w:tc>
          <w:tcPr>
            <w:tcW w:w="1669" w:type="dxa"/>
          </w:tcPr>
          <w:p>
            <w:pPr/>
            <w:r>
              <w:t xml:space="preserve">Entrambi</w:t>
            </w:r>
          </w:p>
        </w:tc>
        <w:tc>
          <w:tcPr>
            <w:tcW w:w="2356" w:type="dxa"/>
          </w:tcPr>
          <w:p>
            <w:pPr/>
            <w:r>
              <w:rPr>
                <w:rStyle w:val="CodeChar"/>
              </w:rPr>
              <w:t xml:space="preserve">favicon.ico</w:t>
            </w:r>
            <w:r>
              <w:t xml:space="preserve"> e </w:t>
            </w:r>
            <w:r>
              <w:rPr>
                <w:rStyle w:val="CodeChar"/>
              </w:rPr>
              <w:t xml:space="preserve">apple-touch-icon</w:t>
            </w:r>
            <w:r>
              <w:t xml:space="preserve"> nella radice</w:t>
            </w:r>
          </w:p>
        </w:tc>
        <w:tc>
          <w:tcPr>
            <w:tcW w:w="2995" w:type="dxa"/>
          </w:tcPr>
          <w:p>
            <w:pPr/>
            <w:r>
              <w:t xml:space="preserve">Circa 56.000 richieste 404 su anniazzurri.it nelle ultime 200.000 righe del log</w:t>
            </w:r>
          </w:p>
        </w:tc>
        <w:tc>
          <w:tcPr>
            <w:tcW w:w="2340" w:type="dxa"/>
          </w:tcPr>
          <w:p>
            <w:pPr/>
            <w:r>
              <w:rPr>
                <w:rStyle w:val="CodeChar"/>
              </w:rPr>
              <w:t xml:space="preserve">https://anniazzurri.it/favicon.ico</w:t>
            </w:r>
            <w:r>
              <w:t xml:space="preserve"> e </w:t>
            </w:r>
            <w:r>
              <w:rPr>
                <w:rStyle w:val="CodeChar"/>
              </w:rPr>
              <w:t xml:space="preserve">/apple-touch-icon.png</w:t>
            </w:r>
            <w:r>
              <w:t xml:space="preserve"> → 200</w:t>
            </w:r>
          </w:p>
        </w:tc>
      </w:tr>
      <w:tr>
        <w:tc>
          <w:tcPr>
            <w:tcW w:w="1669" w:type="dxa"/>
          </w:tcPr>
          <w:p>
            <w:pPr/>
            <w:r>
              <w:t xml:space="preserve">anniazzurri.it</w:t>
            </w:r>
          </w:p>
        </w:tc>
        <w:tc>
          <w:tcPr>
            <w:tcW w:w="2356" w:type="dxa"/>
          </w:tcPr>
          <w:p>
            <w:pPr/>
            <w:r>
              <w:t xml:space="preserve">robots.txt allineato a kosgroup.com e llms.txt con le residenze</w:t>
            </w:r>
          </w:p>
        </w:tc>
        <w:tc>
          <w:tcPr>
            <w:tcW w:w="2995" w:type="dxa"/>
          </w:tcPr>
          <w:p>
            <w:pPr/>
            <w:r>
              <w:t xml:space="preserve">Stesse regole sui risultati di ricerca interna; llms.txt nel perimetro del progetto anche se non è voce dell'audit AA</w:t>
            </w:r>
          </w:p>
        </w:tc>
        <w:tc>
          <w:tcPr>
            <w:tcW w:w="2340" w:type="dxa"/>
          </w:tcPr>
          <w:p>
            <w:pPr/>
            <w:r>
              <w:rPr>
                <w:rStyle w:val="CodeChar"/>
              </w:rPr>
              <w:t xml:space="preserve">https://anniazzurri.it/robots.txt</w:t>
            </w:r>
            <w:r>
              <w:t xml:space="preserve">, </w:t>
            </w:r>
            <w:r>
              <w:rPr>
                <w:rStyle w:val="CodeChar"/>
              </w:rPr>
              <w:t xml:space="preserve">https://anniazzurri.it/llms.txt</w:t>
            </w:r>
          </w:p>
        </w:tc>
      </w:tr>
      <w:tr>
        <w:tc>
          <w:tcPr>
            <w:tcW w:w="1669" w:type="dxa"/>
          </w:tcPr>
          <w:p>
            <w:pPr/>
            <w:r>
              <w:t xml:space="preserve">anniazzurri.it</w:t>
            </w:r>
          </w:p>
        </w:tc>
        <w:tc>
          <w:tcPr>
            <w:tcW w:w="2356" w:type="dxa"/>
          </w:tcPr>
          <w:p>
            <w:pPr/>
            <w:r>
              <w:t xml:space="preserve">Redirect 301 (prima 302 e 404) delle residenze chiuse La Margherita e Villalba verso la pagina della regione</w:t>
            </w:r>
          </w:p>
        </w:tc>
        <w:tc>
          <w:tcPr>
            <w:tcW w:w="2995" w:type="dxa"/>
          </w:tcPr>
          <w:p>
            <w:pPr/>
            <w:r>
              <w:t xml:space="preserve">URL ancora presenti su Yext e nei motori di ricerca</w:t>
            </w:r>
          </w:p>
        </w:tc>
        <w:tc>
          <w:tcPr>
            <w:tcW w:w="2340" w:type="dxa"/>
          </w:tcPr>
          <w:p>
            <w:pPr/>
            <w:r>
              <w:rPr>
                <w:rStyle w:val="CodeChar"/>
              </w:rPr>
              <w:t xml:space="preserve">curl -sI</w:t>
            </w:r>
            <w:r>
              <w:t xml:space="preserve"> sui due URL → 301</w:t>
            </w:r>
          </w:p>
        </w:tc>
      </w:tr>
      <w:tr>
        <w:tc>
          <w:tcPr>
            <w:tcW w:w="1669" w:type="dxa"/>
          </w:tcPr>
          <w:p>
            <w:pPr/>
            <w:r>
              <w:t xml:space="preserve">Entrambi</w:t>
            </w:r>
          </w:p>
        </w:tc>
        <w:tc>
          <w:tcPr>
            <w:tcW w:w="2356" w:type="dxa"/>
          </w:tcPr>
          <w:p>
            <w:pPr/>
            <w:hyperlink r:id="rId3" w:history="1">
              <w:r>
                <w:rPr>
                  <w:rStyle w:val="Hyperlink"/>
                </w:rPr>
                <w:t xml:space="preserve">Convenzione degli identificativi del dato strutturato</w:t>
              </w:r>
            </w:hyperlink>
          </w:p>
        </w:tc>
        <w:tc>
          <w:tcPr>
            <w:tcW w:w="2995" w:type="dxa"/>
          </w:tcPr>
          <w:p>
            <w:pPr/>
            <w:r>
              <w:t xml:space="preserve">Stessi </w:t>
            </w:r>
            <w:r>
              <w:rPr>
                <w:rStyle w:val="CodeChar"/>
              </w:rPr>
              <w:t xml:space="preserve">@id</w:t>
            </w:r>
            <w:r>
              <w:t xml:space="preserve"> su tutte le pagine e su entrambi i siti, base per gli sprint successivi</w:t>
            </w:r>
          </w:p>
        </w:tc>
        <w:tc>
          <w:tcPr>
            <w:tcW w:w="2340" w:type="dxa"/>
          </w:tcPr>
          <w:p>
            <w:pPr/>
            <w:r>
              <w:t xml:space="preserve">Scheda condivisa</w:t>
            </w:r>
          </w:p>
        </w:tc>
      </w:tr>
    </w:tbl>
    <w:p>
      <w:pPr>
        <w:pStyle w:val="Heading2"/>
      </w:pPr>
      <w:r>
        <w:t xml:space="preserve">Come verificare</w:t>
      </w:r>
    </w:p>
    <w:p>
      <w:pPr/>
      <w:r>
        <w:t xml:space="preserve">Tutte le verifiche si fanno sugli URL pubblici, senza accessi al CMS. Il dato strutturato va controllato sull'HTML servito dal server, cioè quello che leggono i crawler AI, che non eseguono JavaScript.</w:t>
      </w:r>
    </w:p>
    <w:p>
      <w:pPr>
        <w:pStyle w:val="ListParagraph"/>
        <w:numPr>
          <w:ilvl w:val="0"/>
          <w:numId w:val="4"/>
        </w:numPr>
      </w:pPr>
      <w:r>
        <w:rPr>
          <w:b/>
        </w:rPr>
        <w:t xml:space="preserve">Dato strutturato</w:t>
      </w:r>
      <w:r>
        <w:t xml:space="preserve">: </w:t>
      </w:r>
      <w:hyperlink r:id="rId4" w:history="1">
        <w:r>
          <w:rPr>
            <w:rStyle w:val="Hyperlink"/>
          </w:rPr>
          <w:t xml:space="preserve">validator.schema.org</w:t>
        </w:r>
      </w:hyperlink>
      <w:r>
        <w:t xml:space="preserve"> e </w:t>
      </w:r>
      <w:hyperlink r:id="rId5" w:history="1">
        <w:r>
          <w:rPr>
            <w:rStyle w:val="Hyperlink"/>
          </w:rPr>
          <w:t xml:space="preserve">Rich Results Test</w:t>
        </w:r>
      </w:hyperlink>
      <w:r>
        <w:t xml:space="preserve"> sugli URL campione. Per il Rich Results Test conviene la verifica sul codice (sorgente della pagina incollato), perché lo strumento esegue JavaScript e mostrerebbe anche markup che i crawler AI non vedono.</w:t>
      </w:r>
    </w:p>
    <w:p>
      <w:pPr>
        <w:pStyle w:val="ListParagraph"/>
        <w:numPr>
          <w:ilvl w:val="0"/>
          <w:numId w:val="4"/>
        </w:numPr>
      </w:pPr>
      <w:r>
        <w:rPr>
          <w:b/>
        </w:rPr>
        <w:t xml:space="preserve">Intestazioni, redirect, 404</w:t>
      </w:r>
      <w:r>
        <w:t xml:space="preserve">: </w:t>
      </w:r>
      <w:r>
        <w:rPr>
          <w:rStyle w:val="CodeChar"/>
        </w:rPr>
        <w:t xml:space="preserve">curl -sIL &lt;URL&gt;</w:t>
      </w:r>
      <w:r>
        <w:t xml:space="preserve">, oppure gli strumenti per sviluppatori del browser (scheda Rete).</w:t>
      </w:r>
    </w:p>
    <w:p>
      <w:pPr>
        <w:pStyle w:val="ListParagraph"/>
        <w:numPr>
          <w:ilvl w:val="0"/>
          <w:numId w:val="4"/>
        </w:numPr>
      </w:pPr>
      <w:r>
        <w:rPr>
          <w:b/>
        </w:rPr>
        <w:t xml:space="preserve">H1 e canonical</w:t>
      </w:r>
      <w:r>
        <w:t xml:space="preserve">: sorgente della pagina (Ctrl+U), non l'ispezione degli elementi.</w:t>
      </w:r>
    </w:p>
    <w:p>
      <w:pPr/>
      <w:r>
        <w:t xml:space="preserve">URL campione per il dato strutturato di anniazzurri.it:</w:t>
      </w:r>
    </w:p>
    <w:tbl>
      <w:tblPr>
        <w:tblStyle w:val="TableGrid"/>
        <w:tblW w:w="0" w:type="auto"/>
        <w:tblLayout w:type="fixed"/>
        <w:tblLook w:val="04A0" w:firstRow="1" w:lastRow="0" w:firstColumn="0" w:lastColumn="0" w:noHBand="0" w:noVBand="1"/>
      </w:tblPr>
      <w:tblGrid>
        <w:gridCol w:w="2721"/>
        <w:gridCol w:w="6638"/>
      </w:tblGrid>
      <w:tr>
        <w:trPr>
          <w:tblHeader/>
        </w:trPr>
        <w:tc>
          <w:tcPr>
            <w:tcW w:w="2721" w:type="dxa"/>
            <w:shd w:val="clear" w:color="auto" w:fill="F2F2F2"/>
          </w:tcPr>
          <w:p>
            <w:pPr/>
            <w:r>
              <w:t xml:space="preserve">Tipo di pagina</w:t>
            </w:r>
          </w:p>
        </w:tc>
        <w:tc>
          <w:tcPr>
            <w:tcW w:w="6638" w:type="dxa"/>
            <w:shd w:val="clear" w:color="auto" w:fill="F2F2F2"/>
          </w:tcPr>
          <w:p>
            <w:pPr/>
            <w:r>
              <w:t xml:space="preserve">URL</w:t>
            </w:r>
          </w:p>
        </w:tc>
      </w:tr>
      <w:tr>
        <w:tc>
          <w:tcPr>
            <w:tcW w:w="2721" w:type="dxa"/>
          </w:tcPr>
          <w:p>
            <w:pPr/>
            <w:r>
              <w:t xml:space="preserve">Home</w:t>
            </w:r>
          </w:p>
        </w:tc>
        <w:tc>
          <w:tcPr>
            <w:tcW w:w="6638" w:type="dxa"/>
          </w:tcPr>
          <w:p>
            <w:pPr/>
            <w:r>
              <w:rPr>
                <w:rStyle w:val="CodeChar"/>
              </w:rPr>
              <w:t xml:space="preserve">https://anniazzurri.it/</w:t>
            </w:r>
          </w:p>
        </w:tc>
      </w:tr>
      <w:tr>
        <w:tc>
          <w:tcPr>
            <w:tcW w:w="2721" w:type="dxa"/>
          </w:tcPr>
          <w:p>
            <w:pPr/>
            <w:r>
              <w:t xml:space="preserve">Regione</w:t>
            </w:r>
          </w:p>
        </w:tc>
        <w:tc>
          <w:tcPr>
            <w:tcW w:w="6638" w:type="dxa"/>
          </w:tcPr>
          <w:p>
            <w:pPr/>
            <w:r>
              <w:rPr>
                <w:rStyle w:val="CodeChar"/>
              </w:rPr>
              <w:t xml:space="preserve">https://anniazzurri.it/rsa-in-lombardia</w:t>
            </w:r>
          </w:p>
        </w:tc>
      </w:tr>
      <w:tr>
        <w:tc>
          <w:tcPr>
            <w:tcW w:w="2721" w:type="dxa"/>
          </w:tcPr>
          <w:p>
            <w:pPr/>
            <w:r>
              <w:t xml:space="preserve">Provincia</w:t>
            </w:r>
          </w:p>
        </w:tc>
        <w:tc>
          <w:tcPr>
            <w:tcW w:w="6638" w:type="dxa"/>
          </w:tcPr>
          <w:p>
            <w:pPr/>
            <w:r>
              <w:rPr>
                <w:rStyle w:val="CodeChar"/>
              </w:rPr>
              <w:t xml:space="preserve">https://anniazzurri.it/rsa-in-provincia-di-monza-e-brianza</w:t>
            </w:r>
          </w:p>
        </w:tc>
      </w:tr>
      <w:tr>
        <w:tc>
          <w:tcPr>
            <w:tcW w:w="2721" w:type="dxa"/>
          </w:tcPr>
          <w:p>
            <w:pPr/>
            <w:r>
              <w:t xml:space="preserve">Residenza</w:t>
            </w:r>
          </w:p>
        </w:tc>
        <w:tc>
          <w:tcPr>
            <w:tcW w:w="6638" w:type="dxa"/>
          </w:tcPr>
          <w:p>
            <w:pPr/>
            <w:r>
              <w:rPr>
                <w:rStyle w:val="CodeChar"/>
              </w:rPr>
              <w:t xml:space="preserve">https://anniazzurri.it/residenza-anni-azzurri-vico-mercati</w:t>
            </w:r>
          </w:p>
        </w:tc>
      </w:tr>
      <w:tr>
        <w:tc>
          <w:tcPr>
            <w:tcW w:w="2721" w:type="dxa"/>
          </w:tcPr>
          <w:p>
            <w:pPr/>
            <w:r>
              <w:t xml:space="preserve">Approfondimento</w:t>
            </w:r>
          </w:p>
        </w:tc>
        <w:tc>
          <w:tcPr>
            <w:tcW w:w="6638" w:type="dxa"/>
          </w:tcPr>
          <w:p>
            <w:pPr/>
            <w:r>
              <w:rPr>
                <w:rStyle w:val="CodeChar"/>
              </w:rPr>
              <w:t xml:space="preserve">https://anniazzurri.it/cosa-sono-le-rsa</w:t>
            </w:r>
          </w:p>
        </w:tc>
      </w:tr>
      <w:tr>
        <w:tc>
          <w:tcPr>
            <w:tcW w:w="2721" w:type="dxa"/>
          </w:tcPr>
          <w:p>
            <w:pPr/>
            <w:r>
              <w:t xml:space="preserve">Sportello sociale</w:t>
            </w:r>
          </w:p>
        </w:tc>
        <w:tc>
          <w:tcPr>
            <w:tcW w:w="6638" w:type="dxa"/>
          </w:tcPr>
          <w:p>
            <w:pPr/>
            <w:r>
              <w:rPr>
                <w:rStyle w:val="CodeChar"/>
              </w:rPr>
              <w:t xml:space="preserve">https://anniazzurri.it/sportello-sociale-orientamento-per-assistenza-anziani</w:t>
            </w:r>
          </w:p>
        </w:tc>
      </w:tr>
    </w:tbl>
    <w:p>
      <w:pPr>
        <w:pStyle w:val="Heading2"/>
      </w:pPr>
      <w:r>
        <w:t xml:space="preserve">Aperti e passaggi successivi</w:t>
      </w:r>
    </w:p>
    <w:p>
      <w:pPr/>
      <w:r>
        <w:t xml:space="preserve">Nessuna voce dello sprint 1 resta aperta lato sviluppo. Restano un'approvazione e alcune note per gli sprint successivi.</w:t>
      </w:r>
    </w:p>
    <w:p>
      <w:pPr>
        <w:pStyle w:val="ListParagraph"/>
        <w:numPr>
          <w:ilvl w:val="0"/>
          <w:numId w:val="5"/>
        </w:numPr>
      </w:pPr>
      <w:r>
        <w:rPr>
          <w:b/>
        </w:rPr>
        <w:t xml:space="preserve">Testo di llms.txt (kosgroup.com e anniazzurri.it)</w:t>
      </w:r>
      <w:r>
        <w:t xml:space="preserve">: frasi di sintesi in apertura da approvare; il file è già pubblicato e si aggiorna in giornata.</w:t>
      </w:r>
    </w:p>
    <w:p>
      <w:pPr>
        <w:pStyle w:val="ListParagraph"/>
        <w:numPr>
          <w:ilvl w:val="0"/>
          <w:numId w:val="5"/>
        </w:numPr>
      </w:pPr>
      <w:r>
        <w:rPr>
          <w:b/>
        </w:rPr>
        <w:t xml:space="preserve">Sprint 2</w:t>
      </w:r>
      <w:r>
        <w:t xml:space="preserve">: ente e briciole di kosgroup.com con la stessa libreria e la stessa convenzione; due link a cartelle di documenti che rispondono 403 ai crawler, emersi dal log degli errori di kosgroup.com.</w:t>
      </w:r>
    </w:p>
    <w:p>
      <w:pPr>
        <w:pStyle w:val="ListParagraph"/>
        <w:numPr>
          <w:ilvl w:val="0"/>
          <w:numId w:val="5"/>
        </w:numPr>
      </w:pPr>
      <w:r>
        <w:rPr>
          <w:b/>
        </w:rPr>
        <w:t xml:space="preserve">Sprint 3</w:t>
      </w:r>
      <w:r>
        <w:t xml:space="preserve">: dato strutturato delle strutture (</w:t>
      </w:r>
      <w:r>
        <w:rPr>
          <w:rStyle w:val="CodeChar"/>
        </w:rPr>
        <w:t xml:space="preserve">#localbusiness</w:t>
      </w:r>
      <w:r>
        <w:t xml:space="preserve">) e blocchi JSON-LD residui di Sportello sociale e pagine di lavoro dentro il grafo unico.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0618026-233e-4335-a5c0-78373cc84c0d" TargetMode="External"/><Relationship Id="rId4" Type="http://schemas.openxmlformats.org/officeDocument/2006/relationships/hyperlink" Target="https://validator.schema.org" TargetMode="External"/><Relationship Id="rId5" Type="http://schemas.openxmlformats.org/officeDocument/2006/relationships/hyperlink" Target="https://search.google.com/test/rich-result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Nota di consegna dello sprint 1</dc:title>
  <dc:description>Claude Docs node/0b2d0068-d38d@19 docx-w7</dc:description>
  <cp:revision>19</cp:revision>
</cp:coreProperties>
</file>