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9C3B2E"/>
          <w:spacing w:val="50"/>
          <w:sz w:val="18"/>
          <w:szCs w:val="18"/>
        </w:rPr>
        <w:t xml:space="preserve">GRUPPO KOS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5C6E"/>
          <w:sz w:val="40"/>
          <w:szCs w:val="40"/>
        </w:rPr>
        <w:t xml:space="preserve">Schede Google: nomi, siti e categorie nel passaggio a RetailTune</w:t>
      </w:r>
    </w:p>
    <w:p>
      <w:pPr>
        <w:spacing w:after="60"/>
      </w:pPr>
      <w:r>
        <w:rPr>
          <w:rFonts w:ascii="Arial" w:cs="Arial" w:eastAsia="Arial" w:hAnsi="Arial"/>
          <w:color w:val="20262B"/>
          <w:sz w:val="24"/>
          <w:szCs w:val="24"/>
        </w:rPr>
        <w:t xml:space="preserve">Linee A e B · Ottimizzazione SEO/GEO di kosgroup.com e anniazzurri.it</w:t>
      </w:r>
    </w:p>
    <w:p>
      <w:pPr>
        <w:pBdr>
          <w:bottom w:val="single" w:color="B8C7CC" w:sz="6" w:space="8"/>
        </w:pBdr>
        <w:spacing w:after="240"/>
      </w:pPr>
      <w:r>
        <w:rPr>
          <w:rFonts w:ascii="Arial" w:cs="Arial" w:eastAsia="Arial" w:hAnsi="Arial"/>
          <w:color w:val="6B7278"/>
          <w:sz w:val="19"/>
          <w:szCs w:val="19"/>
        </w:rPr>
        <w:t xml:space="preserve">Danilo Bernabeo · 2 novembre 2026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Con la migrazione da Yext a RetailTune, nomi, siti e categorie delle 138 schede Google di KOS e Anni Azzurri passano a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un nuovo strumento, che da quel momento li sincronizza. Questo documento fissa le regole per quei tre dati prima che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RetailTune inizi a scriverli. Tiene conto del documento «Local Ottimizzazioni e Linee Guida» del 27 ottobre.</w:t>
      </w:r>
    </w:p>
    <w:p>
      <w:pPr>
        <w:keepNext/>
        <w:pBdr>
          <w:bottom w:val="single" w:color="B8C7CC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5C6E"/>
          <w:sz w:val="28"/>
          <w:szCs w:val="28"/>
        </w:rPr>
        <w:t xml:space="preserve">1. Il passaggio non cambia niente; i cambiamenti vengono dopo, uno alla volta</w:t>
      </w:r>
    </w:p>
    <w:tbl>
      <w:tblPr>
        <w:tblW w:type="dxa" w:w="9638"/>
        <w:tblBorders>
          <w:top w:val="single" w:color="B8C7CC" w:sz="4"/>
          <w:left w:val="single" w:color="B8C7CC" w:sz="4"/>
          <w:bottom w:val="single" w:color="B8C7CC" w:sz="4"/>
          <w:right w:val="single" w:color="B8C7CC" w:sz="4"/>
          <w:insideH w:val="single" w:color="B8C7CC" w:sz="4"/>
          <w:insideV w:val="single" w:color="B8C7CC" w:sz="4"/>
        </w:tblBorders>
      </w:tblPr>
      <w:tblGrid>
        <w:gridCol w:w="2000"/>
        <w:gridCol w:w="4238"/>
        <w:gridCol w:w="3400"/>
      </w:tblGrid>
      <w:tr>
        <w:trPr>
          <w:cantSplit/>
          <w:tblHeader/>
        </w:trPr>
        <w:tc>
          <w:tcPr>
            <w:tcW w:type="dxa" w:w="20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238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4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Prima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Fino al passaggio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Correzione degli errori che oggi portano le persone nel posto sbagliato (siti che reindirizzano altrove, schede di strutture chiuse), con Yext, che alimenta le schede fino al passaggio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Passaggio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Giornata del cambio e due settimane successive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I dati passano senza modifiche: nomi, codici negozio, categorie e siti restano come sono. Nessuna modifica alle schede in quelle due settimane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Dopo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 passi distanziati di una o due settimane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Prima i siti con i parametri UTM, poi le categorie delle residenze, poi quelle delle strutture KOS</w:t>
            </w:r>
          </w:p>
        </w:tc>
      </w:tr>
    </w:tbl>
    <w:p>
      <w:pPr>
        <w:spacing w:after="60"/>
      </w:pP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Il motivo dei passi: ogni modifica passa una revisione di Google e una nuova categoria può richiedere una nuova verifica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dell'attività. Cambiando una cosa per volta si limitano le verifiche e ogni effetto si attribuisce a un solo cambiamento.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posizioni nelle ricerche sono misurate prima e dopo ogni passo.</w:t>
      </w:r>
    </w:p>
    <w:p>
      <w:pPr>
        <w:keepNext/>
        <w:pBdr>
          <w:bottom w:val="single" w:color="B8C7CC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5C6E"/>
          <w:sz w:val="28"/>
          <w:szCs w:val="28"/>
        </w:rPr>
        <w:t xml:space="preserve">2. Nomi delle schede: restano quelli attuali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Il nome della scheda è il nome reale della struttura, lo stesso che compare sull'insegna, nella pagina del sito e nel dato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strutturato. Non si aggiungono parole chiave come «RSA», la città o i servizi.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Perché: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Le regole di Google lo vietano.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Le </w:t>
      </w:r>
      <w:hyperlink w:history="1" r:id="rIdesj0duemeuyrgfb73jq6v">
        <w:r>
          <w:rPr>
            <w:rFonts w:ascii="Arial" w:cs="Arial" w:eastAsia="Arial" w:hAnsi="Arial"/>
            <w:color w:val="1F5C6E"/>
            <w:sz w:val="21"/>
            <w:szCs w:val="21"/>
            <w:u w:val="single"/>
          </w:rPr>
          <w:t xml:space="preserve">linee guida per la rappresentazione</w:t>
        </w:r>
      </w:hyperlink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chiedono il nome usato nel mondo reale ed escludono esplicitamente parole chiave, località e servizi aggiunti.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Il rischio è su tutta la catena.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Le schede di un gruppo con nomi modificati possono essere sospese insieme. Su 60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residenze il danno sarebbe molto più grande di qualsiasi guadagno di posizione.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Coerenza tra le fonti.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Google confronta il nome della scheda con quello del sito e delle directory. Un nome uguale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dappertutto rafforza l'identità della struttura; un nome diverso la indebolisce.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«RSA» ha un significato preciso.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Indica un'autorizzazione e un regime di accreditamento che va verificato struttura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per struttura.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parole chiave hanno altri posti, consentiti e utili: la categoria (sezione 4), i servizi della scheda, la descrizione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informativa e il titolo della pagina del sito.</w:t>
      </w:r>
    </w:p>
    <w:p>
      <w:pPr>
        <w:keepNext/>
        <w:pBdr>
          <w:bottom w:val="single" w:color="B8C7CC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5C6E"/>
          <w:sz w:val="28"/>
          <w:szCs w:val="28"/>
        </w:rPr>
        <w:t xml:space="preserve">3. Sito della scheda: l'URL canonico, con parametri UTM aggiunti solo verso Google</w:t>
      </w:r>
    </w:p>
    <w:tbl>
      <w:tblPr>
        <w:tblW w:type="dxa" w:w="9638"/>
        <w:tblBorders>
          <w:top w:val="single" w:color="B8C7CC" w:sz="4"/>
          <w:left w:val="single" w:color="B8C7CC" w:sz="4"/>
          <w:bottom w:val="single" w:color="B8C7CC" w:sz="4"/>
          <w:right w:val="single" w:color="B8C7CC" w:sz="4"/>
          <w:insideH w:val="single" w:color="B8C7CC" w:sz="4"/>
          <w:insideV w:val="single" w:color="B8C7CC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7438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Regola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Sito nell'archivio RetailTune</w:t>
            </w:r>
          </w:p>
        </w:tc>
        <w:tc>
          <w:tcPr>
            <w:tcW w:type="dxa" w:w="7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L'URL canonico della pagina della struttura su kosgroup.com o anniazzurri.it, che risponde senza reindirizzamenti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Sito pubblicato nella scheda</w:t>
            </w:r>
          </w:p>
        </w:tc>
        <w:tc>
          <w:tcPr>
            <w:tcW w:type="dxa" w:w="7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Lo stesso URL con i parametri aggiunti da RetailTune nella sincronizzazione: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5C6E"/>
                <w:sz w:val="17"/>
                <w:szCs w:val="17"/>
              </w:rPr>
              <w:t xml:space="preserve">?utm_source=google&amp;utm_medium=organic&amp;utm_campaign=gbp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Link per appuntamenti e prenotazioni</w:t>
            </w:r>
          </w:p>
        </w:tc>
        <w:tc>
          <w:tcPr>
            <w:tcW w:type="dxa" w:w="74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La pagina di prenotazione della struttura, senza reindirizzamenti né parametri di sessione</w:t>
            </w:r>
          </w:p>
        </w:tc>
      </w:tr>
    </w:tbl>
    <w:p>
      <w:pPr>
        <w:spacing w:after="60"/>
      </w:pP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Con </w:t>
      </w:r>
      <w:r>
        <w:rPr>
          <w:rFonts w:ascii="Consolas" w:cs="Consolas" w:eastAsia="Consolas" w:hAnsi="Consolas"/>
          <w:color w:val="1F5C6E"/>
          <w:sz w:val="19"/>
          <w:szCs w:val="19"/>
        </w:rPr>
        <w:t xml:space="preserve">utm_medium=organic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le visite dalle schede restano nel canale «Organic Search» di Google Analytics e si distinguono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dalla campagna </w:t>
      </w:r>
      <w:r>
        <w:rPr>
          <w:rFonts w:ascii="Consolas" w:cs="Consolas" w:eastAsia="Consolas" w:hAnsi="Consolas"/>
          <w:color w:val="1F5C6E"/>
          <w:sz w:val="19"/>
          <w:szCs w:val="19"/>
        </w:rPr>
        <w:t xml:space="preserve">gbp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. Tenendo i parametri fuori dall'archivio, le pagine del sito e il dato strutturato restano sull'URL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pulito.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Da confermare: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i valori dei parametri, se KOS o l'agenzia usano già una convenzione diversa.</w:t>
      </w:r>
    </w:p>
    <w:p>
      <w:pPr>
        <w:keepNext/>
        <w:pBdr>
          <w:bottom w:val="single" w:color="B8C7CC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5C6E"/>
          <w:sz w:val="28"/>
          <w:szCs w:val="28"/>
        </w:rPr>
        <w:t xml:space="preserve">4. Categorie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regole sono tre: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la categoria principale descrive la struttura, non i professionisti che ci lavorano;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categorie aggiuntive corrispondono a servizi o reparti che esistono davvero;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strutture di una catena che offrono lo stesso servizio hanno la stessa categoria principale.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categorie si indicano per codice, non per nome: in italiano alcuni nomi compaiono due volte e indicano categorie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diverse (per esempio «Casa di riposo»). I codici li conferma RetailTune prima del passaggio. RetailTune mantiene le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categorie principali attuali e non ne cambia nessuna senza accordo scritto.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### Residenze Anni Azzurri (57 residenze aperte)</w:t>
      </w:r>
    </w:p>
    <w:tbl>
      <w:tblPr>
        <w:tblW w:type="dxa" w:w="9638"/>
        <w:tblBorders>
          <w:top w:val="single" w:color="B8C7CC" w:sz="4"/>
          <w:left w:val="single" w:color="B8C7CC" w:sz="4"/>
          <w:bottom w:val="single" w:color="B8C7CC" w:sz="4"/>
          <w:right w:val="single" w:color="B8C7CC" w:sz="4"/>
          <w:insideH w:val="single" w:color="B8C7CC" w:sz="4"/>
          <w:insideV w:val="single" w:color="B8C7CC" w:sz="4"/>
        </w:tblBorders>
      </w:tblPr>
      <w:tblGrid>
        <w:gridCol w:w="2000"/>
        <w:gridCol w:w="4238"/>
        <w:gridCol w:w="3400"/>
      </w:tblGrid>
      <w:tr>
        <w:trPr>
          <w:cantSplit/>
          <w:tblHeader/>
        </w:trPr>
        <w:tc>
          <w:tcPr>
            <w:tcW w:type="dxa" w:w="20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238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Ruolo</w:t>
            </w:r>
          </w:p>
        </w:tc>
        <w:tc>
          <w:tcPr>
            <w:tcW w:type="dxa" w:w="34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Dove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Casa di riposo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Principale (oggi «Casa di cura»)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Tutte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Casa di cura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Tutte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Assistenza agli anziani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Tutte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Centro diurno per adulti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Solo con centro diurno integrato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Centro di riabilitazione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Solo con unità di riabilitazione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Casa di cura per lungodegenti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Solo con cure intermedie o post-acuzie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Servizio di assistenza domiciliare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Aggiuntiva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Solo dove la residenza eroga RSA Aperta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Geriatra, Servizio di salute mentale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Da togliere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Oggi su 51 e 42 residenze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Centro anziani</w:t>
            </w:r>
          </w:p>
        </w:tc>
        <w:tc>
          <w:tcPr>
            <w:tcW w:type="dxa" w:w="42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Da togliere, se il codice indica un centro sociale per anziani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Oggi su 54 residenze</w:t>
            </w:r>
          </w:p>
        </w:tc>
      </w:tr>
    </w:tbl>
    <w:p>
      <w:pPr>
        <w:spacing w:after="60"/>
      </w:pP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Motivazioni: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I concorrenti diretti (Korian, Sereni Orizzonti, Gruppo La Villa, Gheron) usano «Casa di riposo» come principale. Nelle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ricerche «RSA Milano» e «casa di riposo Torino», 19 risultati su 20 hanno questa categoria.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«Geriatra» è la categoria di un singolo medico: su una residenza porta Google a classificarla come studio medico.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Il selettore italiano non ha categorie per Alzheimer, demenza, residenza assistita o hospice. Se esistono nel catalogo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globale con un codice diverso, RetailTune lo verifica.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### Strutture KOS</w:t>
      </w:r>
    </w:p>
    <w:tbl>
      <w:tblPr>
        <w:tblW w:type="dxa" w:w="9638"/>
        <w:tblBorders>
          <w:top w:val="single" w:color="B8C7CC" w:sz="4"/>
          <w:left w:val="single" w:color="B8C7CC" w:sz="4"/>
          <w:bottom w:val="single" w:color="B8C7CC" w:sz="4"/>
          <w:right w:val="single" w:color="B8C7CC" w:sz="4"/>
          <w:insideH w:val="single" w:color="B8C7CC" w:sz="4"/>
          <w:insideV w:val="single" w:color="B8C7CC" w:sz="4"/>
        </w:tblBorders>
      </w:tblPr>
      <w:tblGrid>
        <w:gridCol w:w="1700"/>
        <w:gridCol w:w="2400"/>
        <w:gridCol w:w="2938"/>
        <w:gridCol w:w="2600"/>
      </w:tblGrid>
      <w:tr>
        <w:trPr>
          <w:cantSplit/>
          <w:tblHeader/>
        </w:trPr>
        <w:tc>
          <w:tcPr>
            <w:tcW w:type="dxa" w:w="17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Gruppo</w:t>
            </w:r>
          </w:p>
        </w:tc>
        <w:tc>
          <w:tcPr>
            <w:tcW w:type="dxa" w:w="24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Principale proposta</w:t>
            </w:r>
          </w:p>
        </w:tc>
        <w:tc>
          <w:tcPr>
            <w:tcW w:type="dxa" w:w="2938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Aggiuntive</w:t>
            </w:r>
          </w:p>
        </w:tc>
        <w:tc>
          <w:tcPr>
            <w:tcW w:type="dxa" w:w="2600"/>
            <w:shd w:fill="1F5C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 togliere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Centri e ospedali di riabilitazione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Centro di riabilitazione; «Ospedale» o «Ospedale specializzato» dove la struttura è un ospedale (Villa Pineta, Villa dei Pini Civitanova, Venerabile Marcucci)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di fisioterapia, se c'è un ambulatorio; Clinica per la salute mentale, se c'è un reparto psichiatrico; Centro diagnostico, se aperto al pubblico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Fisiatra, Fisioterapista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Centri ambulatoriali Santo Stefano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Centro di riabilitazione (oggi «Centro medico» su 10 schede)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di fisioterapia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Pediatra, Psicologo, Logopedista, Audiologo, Centro anziani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Cliniche psichiatriche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per la salute mentale (già su 7 schede su 9)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Nessuna, salvo servizi aperti al pubblico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Psichiatra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Comunità terapeutiche psichiatriche e per minori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Servizio di salute mentale (oggi «Psichiatra» su 10 schede)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Nessuna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Psichiatra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Poliambulatori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Centro medico (oggi su 2; altre principali: Ospedale, Laboratorio medico, Clinica medica)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Centro diagnostico, Laboratorio medico, Clinica di fisioterapia, se il servizio c'è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Banca del sangue, Automazione e robotica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Punti prelievo e laboratori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Laboratorio medico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Servizio di analisi del sangue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Banca del sangue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Diagnostica per immagini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Centro di diagnostica per immagini o Centro diagnostico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Laboratorio di radiologia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Cliniche dentali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dentale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Dentista, Ortodontista, Endodontista solo se la specialità è erogata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Medicina dello sport (Myolab, Fidia)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di medicina dello sport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Clinica di fisioterapia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Sala biliardi, Pediatra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0262B"/>
                <w:sz w:val="19"/>
                <w:szCs w:val="19"/>
              </w:rPr>
              <w:t xml:space="preserve">Hospice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Da decidere per codice con RetailTune: in italiano non c'è una categoria per l'hospice come struttura</w:t>
            </w:r>
          </w:p>
        </w:tc>
        <w:tc>
          <w:tcPr>
            <w:tcW w:type="dxa" w:w="2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62B"/>
                <w:sz w:val="19"/>
                <w:szCs w:val="19"/>
              </w:rPr>
              <w:t xml:space="preserve">Casa di riposo, Ospedale come principale</w:t>
            </w:r>
          </w:p>
        </w:tc>
      </w:tr>
    </w:tbl>
    <w:p>
      <w:pPr>
        <w:spacing w:after="60"/>
      </w:pP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Le categorie per professionista come «Psichiatra», «Pediatra» e «Fisiatra» descrivono un singolo medico. Sulla scheda di</w:t>
      </w:r>
    </w:p>
    <w:p>
      <w:pPr>
        <w:spacing w:after="120" w:before="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una struttura fanno classificare l'intera sede come studio medico, e la allontanano dalle ricerche per tipo di struttura.</w:t>
      </w:r>
    </w:p>
    <w:p>
      <w:pPr>
        <w:keepNext/>
        <w:pBdr>
          <w:bottom w:val="single" w:color="B8C7CC" w:sz="6" w:space="4"/>
        </w:pBdr>
        <w:spacing w:after="140" w:before="300"/>
      </w:pPr>
      <w:r>
        <w:rPr>
          <w:rFonts w:ascii="Arial" w:cs="Arial" w:eastAsia="Arial" w:hAnsi="Arial"/>
          <w:b/>
          <w:bCs/>
          <w:color w:val="1F5C6E"/>
          <w:sz w:val="28"/>
          <w:szCs w:val="28"/>
        </w:rPr>
        <w:t xml:space="preserve">5. Cosa chiediamo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A KOS: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conferma delle regole delle sezioni 2 e 3, e dei valori UTM.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All'agenzia: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un riscontro sulle categorie della sezione 4 entro la call del 4 novembre, in particolare sui centri</w:t>
      </w:r>
    </w:p>
    <w:p>
      <w:pPr>
        <w:spacing w:after="120" w:before="180" w:line="290"/>
        <w:jc w:val="both"/>
      </w:pPr>
      <w:r>
        <w:rPr>
          <w:rFonts w:ascii="Arial" w:cs="Arial" w:eastAsia="Arial" w:hAnsi="Arial"/>
          <w:color w:val="20262B"/>
          <w:sz w:val="21"/>
          <w:szCs w:val="21"/>
        </w:rPr>
        <w:t xml:space="preserve">  ambulatoriali e sulle comunità terapeutiche, dove la proposta cambia la categoria principale.</w:t>
      </w:r>
    </w:p>
    <w:p>
      <w:pPr>
        <w:pStyle w:val="ListParagraph"/>
        <w:numPr>
          <w:ilvl w:val="0"/>
          <w:numId w:val="2"/>
        </w:numPr>
        <w:spacing w:after="70" w:line="290"/>
        <w:jc w:val="both"/>
      </w:pPr>
      <w:r>
        <w:rPr>
          <w:rFonts w:ascii="Arial" w:cs="Arial" w:eastAsia="Arial" w:hAnsi="Arial"/>
          <w:b/>
          <w:bCs/>
          <w:color w:val="20262B"/>
          <w:sz w:val="21"/>
          <w:szCs w:val="21"/>
        </w:rPr>
        <w:t xml:space="preserve">A RetailTune:</w:t>
      </w:r>
      <w:r>
        <w:rPr>
          <w:rFonts w:ascii="Arial" w:cs="Arial" w:eastAsia="Arial" w:hAnsi="Arial"/>
          <w:color w:val="20262B"/>
          <w:sz w:val="21"/>
          <w:szCs w:val="21"/>
        </w:rPr>
        <w:t xml:space="preserve"> i codici di tutte le categorie indicate, prima dell'import.</w:t>
      </w:r>
    </w:p>
    <w:sectPr>
      <w:headerReference w:type="default" r:id="rId7"/>
      <w:footerReference w:type="default" r:id="rId8"/>
      <w:pgSz w:w="11906" w:h="16838" w:orient="portrait"/>
      <w:pgMar w:top="1300" w:right="1134" w:bottom="1134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78"/>
        <w:sz w:val="15"/>
        <w:szCs w:val="15"/>
      </w:rPr>
      <w:t xml:space="preserve">Documento riservato - destinato a Gruppo KOS e Cerved/ProWeb.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6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sj0duemeuyrgfb73jq6v" Type="http://schemas.openxmlformats.org/officeDocument/2006/relationships/hyperlink" Target="https://support.google.com/business/answer/303817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Schede Google: nomi, siti e categorie nel passaggio a RetailTune</dc:title>
  <dc:creator>Danilo Bernabeo</dc:creator>
  <cp:lastModifiedBy>Un-named</cp:lastModifiedBy>
  <cp:revision>1</cp:revision>
  <dcterms:created xsi:type="dcterms:W3CDTF">2026-10-31T07:12:46.155Z</dcterms:created>
  <dcterms:modified xsi:type="dcterms:W3CDTF">2026-10-31T07:12:46.162Z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