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w:t>
      </w:r>
      <w:r>
        <w:t xml:space="preserve"> </w:t>
      </w:r>
      <w:r>
        <w:rPr>
          <w:bCs/>
          <w:b/>
        </w:rPr>
        <w:t xml:space="preserve">30/10 Danilo: si fa, nel pacchetto degli head KOS con l'import dei title di KOS 21-23, con valutazione a parte; a fine progetto Danilo decide se rientra nel perimetro o va a consuntivo</w:t>
      </w:r>
      <w:r>
        <w:t xml:space="preserve">).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Esecuzione del 30/10 (9:35, prima dell'invio): stessi residui; nuovo KO su Residenza San Lorenzo (risorsa 64) senza JSON-LD: cache della pagina scritta alle 03:06:49, due secondi dopo lo svuotamento della cache del rilascio extra aa-news-muba, con l'uscita di</w:t>
      </w:r>
      <w:r>
        <w:t xml:space="preserve"> </w:t>
      </w:r>
      <w:r>
        <w:rPr>
          <w:rStyle w:val="VerbatimChar"/>
        </w:rPr>
        <w:t xml:space="preserve">aaSchema</w:t>
      </w:r>
      <w:r>
        <w:t xml:space="preserve"> </w:t>
      </w:r>
      <w:r>
        <w:t xml:space="preserve">vuota (snippet corretto se eseguito:</w:t>
      </w:r>
      <w:r>
        <w:t xml:space="preserve"> </w:t>
      </w:r>
      <w:r>
        <w:rPr>
          <w:rStyle w:val="VerbatimChar"/>
        </w:rPr>
        <w:t xml:space="preserve">scripts/checks/aa-schema-risorsa.php</w:t>
      </w:r>
      <w:r>
        <w:t xml:space="preserve">). Cancellato il file di cache della risorsa, pagina verificata con un solo</w:t>
      </w:r>
      <w:r>
        <w:t xml:space="preserve"> </w:t>
      </w:r>
      <w:r>
        <w:rPr>
          <w:rStyle w:val="VerbatimChar"/>
        </w:rPr>
        <w:t xml:space="preserve">@graph</w:t>
      </w:r>
      <w:r>
        <w:t xml:space="preserve"> </w:t>
      </w:r>
      <w:r>
        <w:t xml:space="preserve">e briciole uguali a quelle visibili. Da fare: controllo delle pagine in cache senza JSON-LD alla fine di ogni installer che svuota la cache. Tolto lo stesso giorno anche il secondo blocco dell'approfondimento KOS «Salute mentale…»: era la TV</w:t>
      </w:r>
      <w:r>
        <w:t xml:space="preserve"> </w:t>
      </w:r>
      <w:r>
        <w:rPr>
          <w:rStyle w:val="VerbatimChar"/>
        </w:rPr>
        <w:t xml:space="preserve">schemaJsonLd</w:t>
      </w:r>
      <w:r>
        <w:t xml:space="preserve"> </w:t>
      </w:r>
      <w:r>
        <w:t xml:space="preserve">del template</w:t>
      </w:r>
      <w:r>
        <w:t xml:space="preserve"> </w:t>
      </w:r>
      <w:r>
        <w:rPr>
          <w:rStyle w:val="VerbatimChar"/>
        </w:rPr>
        <w:t xml:space="preserve">informativo</w:t>
      </w:r>
      <w:r>
        <w:t xml:space="preserve"> </w:t>
      </w:r>
      <w:r>
        <w:t xml:space="preserve">(stampata tra</w:t>
      </w:r>
      <w:r>
        <w:t xml:space="preserve"> </w:t>
      </w:r>
      <w:r>
        <w:rPr>
          <w:rStyle w:val="VerbatimChar"/>
        </w:rPr>
        <w:t xml:space="preserve">&lt;/head&gt;</w:t>
      </w:r>
      <w:r>
        <w:t xml:space="preserve"> </w:t>
      </w:r>
      <w:r>
        <w:t xml:space="preserve">e</w:t>
      </w:r>
      <w:r>
        <w:t xml:space="preserve"> </w:t>
      </w:r>
      <w:r>
        <w:rPr>
          <w:rStyle w:val="VerbatimChar"/>
        </w:rPr>
        <w:t xml:space="preserve">&lt;body&gt;</w:t>
      </w:r>
      <w:r>
        <w:t xml:space="preserve">), svuotata da Danilo; ora un solo</w:t>
      </w:r>
      <w:r>
        <w:t xml:space="preserve"> </w:t>
      </w:r>
      <w:r>
        <w:rPr>
          <w:rStyle w:val="VerbatimChar"/>
        </w:rPr>
        <w:t xml:space="preserve">@graph</w:t>
      </w:r>
      <w:r>
        <w:t xml:space="preserve">. Nel consolidamento degli head KOS: togliere</w:t>
      </w:r>
      <w:r>
        <w:t xml:space="preserve"> </w:t>
      </w:r>
      <w:r>
        <w:rPr>
          <w:rStyle w:val="VerbatimChar"/>
        </w:rPr>
        <w:t xml:space="preserve">[[*schemaJsonLd]]</w:t>
      </w:r>
      <w:r>
        <w:t xml:space="preserve"> </w:t>
      </w:r>
      <w:r>
        <w:t xml:space="preserve">dal template e portare l'eventuale FAQPage nella libreria comune come nodo di pagina. Corretti anche i doppi H1: evento KOS «La gestione della persona con demenza» (H1 del contenuto portato a H2, stessa classe); i 7 convegni AA erano falsi positivi (H1 commentato nel template</w:t>
      </w:r>
      <w:r>
        <w:t xml:space="preserve"> </w:t>
      </w:r>
      <w:r>
        <w:rPr>
          <w:rStyle w:val="VerbatimChar"/>
        </w:rPr>
        <w:t xml:space="preserve">interna-menu-form-registrazione</w:t>
      </w:r>
      <w:r>
        <w:t xml:space="preserve">, ignorato dai motori): commento tolto con il pacchetto</w:t>
      </w:r>
      <w:r>
        <w:t xml:space="preserve"> </w:t>
      </w:r>
      <w:r>
        <w:rPr>
          <w:rStyle w:val="VerbatimChar"/>
        </w:rPr>
        <w:t xml:space="preserve">aa-18-commenti</w:t>
      </w:r>
      <w:r>
        <w:t xml:space="preserve"> </w:t>
      </w:r>
      <w:r>
        <w:t xml:space="preserve">(produzione 30/10, backup</w:t>
      </w:r>
      <w:r>
        <w:t xml:space="preserve"> </w:t>
      </w:r>
      <w:r>
        <w:rPr>
          <w:rStyle w:val="VerbatimChar"/>
        </w:rPr>
        <w:t xml:space="preserve">20261030-052126</w:t>
      </w:r>
      <w:r>
        <w:t xml:space="preserve">) e script di verifica corretto (H1 e canonical contati senza i commenti HTML). Verifica completa finale del 30/10 alle 11:22 (dopo il rilascio): 48 OK, 2 INFO, 2 KO, cioè solo il blocco Yext nel DOM renderizzato delle schede struttura; 861 + 449 pagine con un solo JSON-LD, un solo canonical e un solo H1. Rapporto conservato da Danilo come contro-prova; nota di consegna aggiornata (data 30/10, paragrafo della verifica).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57 residenze aperte sono autorizzate come unità</w:t>
      </w:r>
      <w:r>
        <w:t xml:space="preserve"> </w:t>
      </w:r>
      <w:r>
        <w:t xml:space="preserve">socio-sanitarie (RSA, CRA, Residenza Protetta), quindi il tipo è lo stesso per tutte; l'accreditamento (31 sì,</w:t>
      </w:r>
      <w:r>
        <w:t xml:space="preserve"> </w:t>
      </w:r>
      <w:r>
        <w:t xml:space="preserve">7 parziale, 2 in corso, 1 no, 16 non esplicito nella carta, su 57 pagine)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 </w:t>
      </w:r>
      <w:r>
        <w:t xml:space="preserve">e</w:t>
      </w:r>
      <w:r>
        <w:t xml:space="preserve"> </w:t>
      </w:r>
      <w:r>
        <w:rPr>
          <w:rStyle w:val="VerbatimChar"/>
        </w:rPr>
        <w:t xml:space="preserve">worksFor</w:t>
      </w:r>
      <w:r>
        <w:t xml:space="preserve"> </w:t>
      </w:r>
      <w:r>
        <w:t xml:space="preserve">verso</w:t>
      </w:r>
      <w:r>
        <w:t xml:space="preserve"> </w:t>
      </w:r>
      <w:r>
        <w:rPr>
          <w:rStyle w:val="VerbatimChar"/>
        </w:rPr>
        <w:t xml:space="preserve">#localbusiness</w:t>
      </w:r>
      <w:r>
        <w:t xml:space="preserve"> </w:t>
      </w:r>
      <w:r>
        <w:t xml:space="preserve">(corretto dopo la revisione del 29/10:</w:t>
      </w:r>
      <w:r>
        <w:t xml:space="preserve"> </w:t>
      </w:r>
      <w:r>
        <w:rPr>
          <w:rStyle w:val="VerbatimChar"/>
        </w:rPr>
        <w:t xml:space="preserve">practicesAt</w:t>
      </w:r>
      <w:r>
        <w:t xml:space="preserve"> </w:t>
      </w:r>
      <w:r>
        <w:t xml:space="preserve">vale solo per i medici).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Categorie Google delle residenze</w:t>
      </w:r>
      <w:r>
        <w:t xml:space="preserve"> </w:t>
      </w:r>
      <w:r>
        <w:t xml:space="preserve">(deciso il 29/10, sostituisce il test PWC su un campione): stessa</w:t>
      </w:r>
      <w:r>
        <w:t xml:space="preserve"> </w:t>
      </w:r>
      <w:r>
        <w:t xml:space="preserve">categoria per tutte le residenze aperte, «Casa di riposo» principale come i concorrenti, aggiuntive solo per servizi</w:t>
      </w:r>
      <w:r>
        <w:t xml:space="preserve"> </w:t>
      </w:r>
      <w:r>
        <w:t xml:space="preserve">reali, via «Geriatra» e «Servizio di salute mentale»; da validare con PWC sui codici delle categorie, dopo la finestra</w:t>
      </w:r>
      <w:r>
        <w:t xml:space="preserve"> </w:t>
      </w:r>
      <w:r>
        <w:t xml:space="preserve">di passaggio Yext → RetailTune e a passi. Dettaglio e misura in</w:t>
      </w:r>
      <w:r>
        <w:t xml:space="preserve"> </w:t>
      </w:r>
      <w:r>
        <w:rPr>
          <w:rStyle w:val="VerbatimChar"/>
        </w:rPr>
        <w:t xml:space="preserve">docs/specifica-grafo-kos.md</w:t>
      </w:r>
      <w:r>
        <w:t xml:space="preserve">.</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2026-10-30T15:39:56Z</dcterms:created>
  <dcterms:modified xsi:type="dcterms:W3CDTF">2026-10-30T15:39:56Z</dcterms:modified>
</cp:coreProperties>
</file>

<file path=docProps/custom.xml><?xml version="1.0" encoding="utf-8"?>
<Properties xmlns="http://schemas.openxmlformats.org/officeDocument/2006/custom-properties" xmlns:vt="http://schemas.openxmlformats.org/officeDocument/2006/docPropsVTypes"/>
</file>