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7b12ee54e7c224986cb812fed1da822388f1df5"/>
    <w:p>
      <w:pPr>
        <w:pStyle w:val="Heading1"/>
      </w:pPr>
      <w:r>
        <w:t xml:space="preserve">Specifica del grafo e delle schede Google (stadio 7)</w:t>
      </w:r>
    </w:p>
    <w:p>
      <w:pPr>
        <w:pStyle w:val="FirstParagraph"/>
      </w:pPr>
      <w:r>
        <w:t xml:space="preserve">Danilo Bernabeo · 29 ottobre 2026 · versione 2, dopo la revisione indipendente · documento interno, non va condiviso</w:t>
      </w:r>
      <w:r>
        <w:t xml:space="preserve"> </w:t>
      </w:r>
      <w:r>
        <w:t xml:space="preserve">così com'è con KOS o con l'agenzia</w:t>
      </w:r>
    </w:p>
    <w:p>
      <w:pPr>
        <w:pStyle w:val="BodyText"/>
      </w:pPr>
      <w:r>
        <w:t xml:space="preserve">Questa specifica guida il lavoro sulle schede Google Business Profile di KOS e Anni Azzurri (138 schede, stadio 7) e</w:t>
      </w:r>
      <w:r>
        <w:t xml:space="preserve"> </w:t>
      </w:r>
      <w:r>
        <w:t xml:space="preserve">tiene allineati tre oggetti che descrivono la stessa sede: la scheda Google, la pagina del sito e il dato</w:t>
      </w:r>
      <w:r>
        <w:t xml:space="preserve"> </w:t>
      </w:r>
      <w:r>
        <w:t xml:space="preserve">strutturato. Non ridefinisce il dato strutturato: per tipi, identificativi e proprietà valgono il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(sezione «Convenzioni del dato strutturato»),</w:t>
      </w:r>
      <w:r>
        <w:t xml:space="preserve"> </w:t>
      </w:r>
      <w:r>
        <w:rPr>
          <w:rStyle w:val="VerbatimChar"/>
        </w:rPr>
        <w:t xml:space="preserve">docs/convenzione-identificativi.md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. Qui ci sono solo</w:t>
      </w:r>
      <w:r>
        <w:t xml:space="preserve"> </w:t>
      </w:r>
      <w:r>
        <w:t xml:space="preserve">le regole nuove, l'archivio delle sedi, le schede Google e i punti aperti.</w:t>
      </w:r>
    </w:p>
    <w:p>
      <w:pPr>
        <w:pStyle w:val="BodyText"/>
      </w:pPr>
      <w:r>
        <w:t xml:space="preserve">Ogni regola ha accanto il modo per verificarla: una regola che non si può controllare non è una regola.</w:t>
      </w:r>
    </w:p>
    <w:bookmarkStart w:id="21" w:name="Xb398ccbcc233cf97b9bc62edf5701717356d9e0"/>
    <w:p>
      <w:pPr>
        <w:pStyle w:val="Heading2"/>
      </w:pPr>
      <w:r>
        <w:t xml:space="preserve">1. Perché il grafo, in una frase</w:t>
      </w:r>
    </w:p>
    <w:p>
      <w:pPr>
        <w:pStyle w:val="FirstParagraph"/>
      </w:pPr>
      <w:r>
        <w:t xml:space="preserve">Il dato strutturato non serve a comparire nelle risposte AI di Google, che non lo richiedono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guida di Google, 16/09/2026</w:t>
        </w:r>
      </w:hyperlink>
      <w:r>
        <w:t xml:space="preserve">). Serve</w:t>
      </w:r>
      <w:r>
        <w:t xml:space="preserve"> </w:t>
      </w:r>
      <w:r>
        <w:t xml:space="preserve">ai risultati arricchiti e al pannello informativo (documentato da Google), e alla coerenza tra sito, schede Google e</w:t>
      </w:r>
      <w:r>
        <w:t xml:space="preserve"> </w:t>
      </w:r>
      <w:r>
        <w:t xml:space="preserve">directory, che verifichiamo noi. Per le ricerche «vicino a me» decide la scheda Google: per questo la scheda corretta,</w:t>
      </w:r>
      <w:r>
        <w:t xml:space="preserve"> </w:t>
      </w:r>
      <w:r>
        <w:t xml:space="preserve">alimentata dallo stesso archivio del grafo, è la parte che conta di più. Da non promettere: presenza nelle risposte</w:t>
      </w:r>
      <w:r>
        <w:t xml:space="preserve"> </w:t>
      </w:r>
      <w:r>
        <w:t xml:space="preserve">AI «grazie allo schema», percentuali di traffico AI, punteggi di visibilità.</w:t>
      </w:r>
    </w:p>
    <w:bookmarkEnd w:id="21"/>
    <w:bookmarkStart w:id="23" w:name="Xc3c19de399d5d6171ac5c8aa5901d2b14fe1c39"/>
    <w:p>
      <w:pPr>
        <w:pStyle w:val="Heading2"/>
      </w:pPr>
      <w:r>
        <w:t xml:space="preserve">2. Entità e relazioni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collega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S.p.A.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https://kosgroup.com/#organization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(controllante: CIR S.p.A., non nel grafo)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(KOS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Care S.r.l.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https://anniazzurri.it/#organization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KOS S.p.A.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(AA-8)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società operative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https://kosgroup.com/it/chi-siamo/governance/dati-societari#&lt;partita IVA&gt;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KOS S.p.A.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29/10, da implementare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Struttura (sede fisica)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(residenze</w:t>
            </w:r>
            <w:r>
              <w:t xml:space="preserve"> </w:t>
            </w:r>
            <w:r>
              <w:rPr>
                <w:rStyle w:val="VerbatimChar"/>
              </w:rPr>
              <w:t xml:space="preserve">["MedicalBusiness","MedicalOrganization"]</w:t>
            </w:r>
            <w:r>
              <w:t xml:space="preserve">; sanitarie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Hospital</w:t>
            </w:r>
            <w: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scheda}#localbusiness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società che la gestisce;</w:t>
            </w:r>
            <w:r>
              <w:t xml:space="preserve"> </w:t>
            </w:r>
            <w:r>
              <w:rPr>
                <w:rStyle w:val="VerbatimChar"/>
              </w:rPr>
              <w:t xml:space="preserve">brand</w:t>
            </w:r>
            <w:r>
              <w:t xml:space="preserve"> </w:t>
            </w:r>
            <w:r>
              <w:t xml:space="preserve">→ Anni Azzurri (solo residenze)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KOS: voce 24; AA: sprint 3 (27/11)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Reparto o unità operativa nella stessa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stesso tipo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pagina unità}#department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department</w:t>
            </w:r>
            <w:r>
              <w:t xml:space="preserve"> </w:t>
            </w:r>
            <w:r>
              <w:t xml:space="preserve">dalla struttura;</w:t>
            </w:r>
            <w:r>
              <w:t xml:space="preserve"> </w:t>
            </w: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senza sede propria (RSA Aperta, assistenza domiciliare)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{URL}#service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→ struttura;</w:t>
            </w:r>
            <w:r>
              <w:t xml:space="preserve"> </w:t>
            </w:r>
            <w:r>
              <w:rPr>
                <w:rStyle w:val="VerbatimChar"/>
              </w:rPr>
              <w:t xml:space="preserve">areaServed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Sportello in produzione; RSA Aperta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IndividualPhysician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scheda}#medico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practicesAt</w:t>
            </w:r>
            <w:r>
              <w:t xml:space="preserve"> </w:t>
            </w:r>
            <w:r>
              <w:t xml:space="preserve">→ 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voce 11,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Altro professionista sanitario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jobTitle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worksFor</w:t>
            </w:r>
            <w:r>
              <w:t xml:space="preserve"> </w:t>
            </w:r>
            <w:r>
              <w:t xml:space="preserve">→ struttura (</w:t>
            </w:r>
            <w:r>
              <w:rPr>
                <w:rStyle w:val="VerbatimChar"/>
              </w:rPr>
              <w:t xml:space="preserve">practicesAt</w:t>
            </w:r>
            <w:r>
              <w:t xml:space="preserve"> </w:t>
            </w:r>
            <w:r>
              <w:t xml:space="preserve">esiste solo su</w:t>
            </w:r>
            <w:r>
              <w:t xml:space="preserve"> </w:t>
            </w:r>
            <w:r>
              <w:rPr>
                <w:rStyle w:val="VerbatimChar"/>
              </w:rPr>
              <w:t xml:space="preserve">IndividualPhysician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voce 11, sprint 3</w:t>
            </w:r>
          </w:p>
        </w:tc>
      </w:tr>
    </w:tbl>
    <w:p>
      <w:pPr>
        <w:pStyle w:val="BodyText"/>
      </w:pPr>
      <w:r>
        <w:t xml:space="preserve">Le società della</w:t>
      </w:r>
      <w:r>
        <w:t xml:space="preserve"> </w:t>
      </w:r>
      <w:hyperlink r:id="rId22">
        <w:r>
          <w:rPr>
            <w:rStyle w:val="Hyperlink"/>
          </w:rPr>
          <w:t xml:space="preserve">pagina dei dati societari</w:t>
        </w:r>
      </w:hyperlink>
      <w:r>
        <w:t xml:space="preserve"> </w:t>
      </w:r>
      <w:r>
        <w:t xml:space="preserve">sono nove:</w:t>
      </w:r>
      <w:r>
        <w:t xml:space="preserve"> </w:t>
      </w:r>
      <w:r>
        <w:t xml:space="preserve">KOS S.p.A. (10674520159), KOS Care (01148190547), Sanatrix Gestioni (01490070438), Jesilab (02220610428), Abitare il Tempo</w:t>
      </w:r>
      <w:r>
        <w:t xml:space="preserve"> </w:t>
      </w:r>
      <w:r>
        <w:t xml:space="preserve">(01590980429, numero di registro imprese: la pagina non indica una partita IVA distinta), KOS Servizi (01704930682),</w:t>
      </w:r>
      <w:r>
        <w:t xml:space="preserve"> </w:t>
      </w:r>
      <w:r>
        <w:t xml:space="preserve">Fidia (01348940436), Sanatrix (P.IVA 00625250436) e Ospedale di Suzzara, in liquidazione (04482440965), che non gestisce</w:t>
      </w:r>
      <w:r>
        <w:t xml:space="preserve"> </w:t>
      </w:r>
      <w:r>
        <w:t xml:space="preserve">strutture e resta fuori dal grafo. Il frammento è la partita IVA di 11 cifre, senza prefisso</w:t>
      </w:r>
      <w:r>
        <w:t xml:space="preserve"> </w:t>
      </w:r>
      <w:r>
        <w:rPr>
          <w:rStyle w:val="VerbatimChar"/>
        </w:rPr>
        <w:t xml:space="preserve">IT</w:t>
      </w:r>
      <w:r>
        <w:t xml:space="preserve">; la proprietà</w:t>
      </w:r>
      <w:r>
        <w:t xml:space="preserve"> </w:t>
      </w:r>
      <w:r>
        <w:rPr>
          <w:rStyle w:val="VerbatimChar"/>
        </w:rPr>
        <w:t xml:space="preserve">vatID</w:t>
      </w:r>
      <w:r>
        <w:t xml:space="preserve"> </w:t>
      </w:r>
      <w:r>
        <w:t xml:space="preserve">resta con il prefisso, come oggi.</w:t>
      </w:r>
    </w:p>
    <w:p>
      <w:pPr>
        <w:pStyle w:val="BodyText"/>
      </w:pPr>
      <w:r>
        <w:t xml:space="preserve">Regole delle relazioni: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Struttura → società.</w:t>
      </w:r>
      <w:r>
        <w:t xml:space="preserve"> </w:t>
      </w:r>
      <w:r>
        <w:t xml:space="preserve">Ogni struttura risale alla società che la gestisce, non per forza all'ente del sito. Esempio:</w:t>
      </w:r>
      <w:r>
        <w:t xml:space="preserve"> </w:t>
      </w:r>
      <w:r>
        <w:t xml:space="preserve">la Residenza Abitare il Tempo risale ad Abitare il Tempo S.r.l., non a KOS Care. Serve la tabella struttura →</w:t>
      </w:r>
      <w:r>
        <w:t xml:space="preserve"> </w:t>
      </w:r>
      <w:r>
        <w:t xml:space="preserve">società (punto aperto 1), che entra in una TV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 </w:t>
      </w:r>
      <w:r>
        <w:t xml:space="preserve">(partita IVA). La libreria oggi scrive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fisso verso l'ente del sito (</w:t>
      </w:r>
      <w:r>
        <w:rPr>
          <w:rStyle w:val="VerbatimChar"/>
        </w:rPr>
        <w:t xml:space="preserve">shared/snippets/seoSchema.php</w:t>
      </w:r>
      <w:r>
        <w:t xml:space="preserve">, nodo struttura): va cambiata per</w:t>
      </w:r>
      <w:r>
        <w:t xml:space="preserve"> </w:t>
      </w:r>
      <w:r>
        <w:t xml:space="preserve">leggere la TV. Fino ad allora il collegamento resta all'ente del sito.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Marchi.</w:t>
      </w:r>
      <w:r>
        <w:t xml:space="preserve"> </w:t>
      </w:r>
      <w:r>
        <w:t xml:space="preserve">Dal 29/10 (decisione di KOS riferita da Danilo) l'unico marchio attivo è Anni Azzurri: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è un</w:t>
      </w:r>
      <w:r>
        <w:t xml:space="preserve"> </w:t>
      </w:r>
      <w:r>
        <w:t xml:space="preserve">riferimento all'ente</w:t>
      </w:r>
      <w:r>
        <w:t xml:space="preserve"> </w:t>
      </w:r>
      <w:r>
        <w:rPr>
          <w:rStyle w:val="VerbatimChar"/>
        </w:rPr>
        <w:t xml:space="preserve">https://anniazzurri.it/#organization</w:t>
      </w:r>
      <w:r>
        <w:t xml:space="preserve">, solo sulle residenze. Santo Stefano e Neomesia restano</w:t>
      </w:r>
      <w:r>
        <w:t xml:space="preserve"> </w:t>
      </w:r>
      <w:r>
        <w:t xml:space="preserve">nei nomi propri delle strutture, ma non sono più marchi: la TV</w:t>
      </w:r>
      <w:r>
        <w:t xml:space="preserve"> </w:t>
      </w:r>
      <w:r>
        <w:rPr>
          <w:rStyle w:val="VerbatimChar"/>
        </w:rPr>
        <w:t xml:space="preserve">str.marchio</w:t>
      </w:r>
      <w:r>
        <w:t xml:space="preserve"> </w:t>
      </w:r>
      <w:r>
        <w:t xml:space="preserve">di kosgroup.com si svuota e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 </w:t>
      </w:r>
      <w:r>
        <w:t xml:space="preserve">si aggiorna nello stesso commit dell'implementazione.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sameAs</w:t>
      </w:r>
      <w:r>
        <w:rPr>
          <w:bCs/>
          <w:b/>
        </w:rPr>
        <w:t xml:space="preserve"> </w:t>
      </w:r>
      <w:r>
        <w:rPr>
          <w:bCs/>
          <w:b/>
        </w:rPr>
        <w:t xml:space="preserve">tra soggetti giuridici diversi</w:t>
      </w:r>
      <w:r>
        <w:t xml:space="preserve">;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solo verso profili esterni ufficiali dello stesso soggetto.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Niente indirizzo, niente nodo struttura</w:t>
      </w:r>
      <w:r>
        <w:t xml:space="preserve"> </w:t>
      </w:r>
      <w:r>
        <w:t xml:space="preserve">(regola già nella libreria).</w:t>
      </w:r>
    </w:p>
    <w:p>
      <w:pPr>
        <w:pStyle w:val="FirstParagraph"/>
      </w:pPr>
      <w:r>
        <w:t xml:space="preserve">Verifica: per ogni pagina struttura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servito contiene un solo nodo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 il suo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è una delle società elencate sopra;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c'è solo su anniazzurri.it; nessun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ha</w:t>
      </w:r>
      <w:r>
        <w:t xml:space="preserve"> </w:t>
      </w:r>
      <w:r>
        <w:rPr>
          <w:rStyle w:val="VerbatimChar"/>
        </w:rPr>
        <w:t xml:space="preserve">practicesAt</w:t>
      </w:r>
      <w:r>
        <w:t xml:space="preserve">.</w:t>
      </w:r>
    </w:p>
    <w:bookmarkEnd w:id="23"/>
    <w:bookmarkStart w:id="24" w:name="X041017adacbcd363d46bc69dfebed4e4223b1cc"/>
    <w:p>
      <w:pPr>
        <w:pStyle w:val="Heading2"/>
      </w:pPr>
      <w:r>
        <w:t xml:space="preserve">3. Identificativi: cosa non cambia e cosa si aggiunge</w:t>
      </w:r>
    </w:p>
    <w:p>
      <w:pPr>
        <w:pStyle w:val="FirstParagraph"/>
      </w:pPr>
      <w:r>
        <w:t xml:space="preserve">Gli identificativi già pubblicati non cambiano: sono basati sugli indirizzi del sito, non sui codici di Yext o</w:t>
      </w:r>
      <w:r>
        <w:t xml:space="preserve"> </w:t>
      </w:r>
      <w:r>
        <w:t xml:space="preserve">RetailTune, e restano gli stessi con la migrazione. Si aggiungono, in una nuova versione della convenzione da</w:t>
      </w:r>
      <w:r>
        <w:t xml:space="preserve"> </w:t>
      </w:r>
      <w:r>
        <w:t xml:space="preserve">consegnare con lo sprint che li usa: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#department</w:t>
      </w:r>
      <w:r>
        <w:t xml:space="preserve"> </w:t>
      </w:r>
      <w:r>
        <w:t xml:space="preserve">per i reparti nella stessa sede. Il nome del reparto è «{nome della sede} {nome del reparto}», come</w:t>
      </w:r>
      <w:r>
        <w:t xml:space="preserve"> </w:t>
      </w:r>
      <w:r>
        <w:t xml:space="preserve">chiede Google per i reparti.</w:t>
      </w:r>
    </w:p>
    <w:p>
      <w:pPr>
        <w:numPr>
          <w:ilvl w:val="0"/>
          <w:numId w:val="1002"/>
        </w:numPr>
        <w:pStyle w:val="Compact"/>
      </w:pPr>
      <w:r>
        <w:t xml:space="preserve">Le società del gruppo, con la partita IVA come frammento (§2). È l'unico caso in cui il frammento non è fisso per</w:t>
      </w:r>
      <w:r>
        <w:t xml:space="preserve"> </w:t>
      </w:r>
      <w:r>
        <w:t xml:space="preserve">tipo: un'unica pagina descrive più società.</w:t>
      </w:r>
    </w:p>
    <w:p>
      <w:pPr>
        <w:pStyle w:val="FirstParagraph"/>
      </w:pPr>
      <w:r>
        <w:rPr>
          <w:bCs/>
          <w:b/>
        </w:rPr>
        <w:t xml:space="preserve">Villa Margherita Vicenza</w:t>
      </w:r>
      <w:r>
        <w:t xml:space="preserve"> </w:t>
      </w:r>
      <w:r>
        <w:t xml:space="preserve">(una scheda Google, due unità operative). La scheda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; sul sito</w:t>
      </w:r>
      <w:r>
        <w:t xml:space="preserve"> </w:t>
      </w:r>
      <w:r>
        <w:t xml:space="preserve">le unità sono</w:t>
      </w:r>
      <w:r>
        <w:t xml:space="preserve"> </w:t>
      </w:r>
      <w:r>
        <w:rPr>
          <w:rStyle w:val="VerbatimChar"/>
        </w:rPr>
        <w:t xml:space="preserve">/it/centri/villa-margherita-vicenza-riabilitazione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/it/centri/villa-margherita-vicenza-psichiatria</w:t>
      </w:r>
      <w:r>
        <w:t xml:space="preserve">.</w:t>
      </w:r>
      <w:r>
        <w:t xml:space="preserve"> </w:t>
      </w:r>
      <w:r>
        <w:t xml:space="preserve">Il nodo struttura sta sulla pagina a cui punta la scheda; le due unità sono</w:t>
      </w:r>
      <w:r>
        <w:t xml:space="preserve"> </w:t>
      </w:r>
      <w:r>
        <w:rPr>
          <w:rStyle w:val="VerbatimChar"/>
        </w:rPr>
        <w:t xml:space="preserve">#department</w:t>
      </w:r>
      <w:r>
        <w:t xml:space="preserve"> </w:t>
      </w:r>
      <w:r>
        <w:t xml:space="preserve">sulle loro pagine. Prima</w:t>
      </w:r>
      <w:r>
        <w:t xml:space="preserve"> </w:t>
      </w:r>
      <w:r>
        <w:t xml:space="preserve">dell'implementazione va verificato che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 </w:t>
      </w:r>
      <w:r>
        <w:t xml:space="preserve">sia una pagina vera (200, canonical su sé stessa) e non</w:t>
      </w:r>
      <w:r>
        <w:t xml:space="preserve"> </w:t>
      </w:r>
      <w:r>
        <w:t xml:space="preserve">un reindirizzamento: se non lo è, la scheda va fatta puntare alla pagina della riabilitazione, che porta il nodo</w:t>
      </w:r>
      <w:r>
        <w:t xml:space="preserve"> </w:t>
      </w:r>
      <w:r>
        <w:t xml:space="preserve">struttura.</w:t>
      </w:r>
    </w:p>
    <w:p>
      <w:pPr>
        <w:pStyle w:val="BodyText"/>
      </w:pPr>
      <w:r>
        <w:t xml:space="preserve">Verifica: uno script esporta per ogni pagina delle sitemap le coppie</w:t>
      </w:r>
      <w:r>
        <w:t xml:space="preserve"> </w:t>
      </w:r>
      <w:r>
        <w:rPr>
          <w:rStyle w:val="VerbatimChar"/>
        </w:rPr>
        <w:t xml:space="preserve">url, @type, @id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servito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evidenze/&lt;data&gt;/id.csv</w:t>
      </w:r>
      <w:r>
        <w:t xml:space="preserve">); il confronto con l'esportazione di riferimento, da produrre prima del primo rilascio che</w:t>
      </w:r>
      <w:r>
        <w:t xml:space="preserve"> </w:t>
      </w:r>
      <w:r>
        <w:t xml:space="preserve">tocca il grafo, non mostra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cambiati, e i nuovi frammenti compaiono solo sulle pagine previste. Lo script va</w:t>
      </w:r>
      <w:r>
        <w:t xml:space="preserve"> </w:t>
      </w:r>
      <w:r>
        <w:t xml:space="preserve">aggiunto a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(oggi</w:t>
      </w:r>
      <w:r>
        <w:t xml:space="preserve"> </w:t>
      </w:r>
      <w:r>
        <w:rPr>
          <w:rStyle w:val="VerbatimChar"/>
        </w:rPr>
        <w:t xml:space="preserve">verifica-sprint-1.mjs</w:t>
      </w:r>
      <w:r>
        <w:t xml:space="preserve"> </w:t>
      </w:r>
      <w:r>
        <w:t xml:space="preserve">controlla solo gli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di ente e briciole).</w:t>
      </w:r>
    </w:p>
    <w:bookmarkEnd w:id="24"/>
    <w:bookmarkStart w:id="25" w:name="Xfdf130c9fd5119b47fcabb61a1c0337bc5eceb1"/>
    <w:p>
      <w:pPr>
        <w:pStyle w:val="Heading2"/>
      </w:pPr>
      <w:r>
        <w:t xml:space="preserve">4. Archivio unico delle sedi</w:t>
      </w:r>
    </w:p>
    <w:p>
      <w:pPr>
        <w:pStyle w:val="FirstParagraph"/>
      </w:pPr>
      <w:r>
        <w:rPr>
          <w:bCs/>
          <w:b/>
        </w:rPr>
        <w:t xml:space="preserve">RetailTune è l'archivio</w:t>
      </w:r>
      <w:r>
        <w:t xml:space="preserve"> </w:t>
      </w:r>
      <w:r>
        <w:t xml:space="preserve">delle sedi (contratto in firma, decisione presa). Da RetailTune derivano tre cose: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Sincronizzazione di RetailTune: nome, indirizzo, telefono, sito, categorie, orari e orari speciali, attributi, foto, descrizione, link di prenotazione; RetailTune gestisce anche le risposte alle recensioni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RetailTune, su dati validati da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Pagina del 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nelle 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di MODX (elenco in</w:t>
            </w:r>
            <w:r>
              <w:t xml:space="preserve"> </w:t>
            </w:r>
            <w:r>
              <w:rPr>
                <w:rStyle w:val="VerbatimChar"/>
              </w:rPr>
              <w:t xml:space="preserve">docs/kos-24.md</w:t>
            </w:r>
            <w:r>
              <w:t xml:space="preserve">, più</w:t>
            </w:r>
            <w:r>
              <w:t xml:space="preserve"> </w:t>
            </w:r>
            <w:r>
              <w:rPr>
                <w:rStyle w:val="VerbatimChar"/>
              </w:rPr>
              <w:t xml:space="preserve">str.codice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str.societa</w:t>
            </w:r>
            <w:r>
              <w:t xml:space="preserve">): una volta prima della migrazione dall'export Yext corretto, poi dall'API di RetailTune con un'importazione notturna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Progetto (canale e responsabile: punto aperto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strutturato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Letto dalle stesse TV della pagina, quindi pagina e markup non possono divergere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Progetto (libreria comune)</w:t>
            </w:r>
          </w:p>
        </w:tc>
      </w:tr>
    </w:tbl>
    <w:p>
      <w:pPr>
        <w:pStyle w:val="BodyText"/>
      </w:pPr>
      <w:r>
        <w:t xml:space="preserve">Se l'importazione notturna fallisce, le TV restano come sono e l'errore arriva per email; la pagina non si svuota mai.</w:t>
      </w:r>
    </w:p>
    <w:p>
      <w:pPr>
        <w:pStyle w:val="BodyText"/>
      </w:pPr>
      <w:r>
        <w:rPr>
          <w:bCs/>
          <w:b/>
        </w:rPr>
        <w:t xml:space="preserve">anniazzurri.it fino al 27/11.</w:t>
      </w:r>
      <w:r>
        <w:t xml:space="preserve"> </w:t>
      </w:r>
      <w:r>
        <w:t xml:space="preserve">Le TV anagrafiche su anniazzurri.it non esistono ancora e il nodo struttura delle</w:t>
      </w:r>
      <w:r>
        <w:t xml:space="preserve"> </w:t>
      </w:r>
      <w:r>
        <w:t xml:space="preserve">residenze arriva con lo sprint 3. Fino ad allora il lato «sito» del confronto a tre sono i dati visibili nella pagina</w:t>
      </w:r>
      <w:r>
        <w:t xml:space="preserve"> </w:t>
      </w:r>
      <w:r>
        <w:t xml:space="preserve">della residenza (indirizzo, telefono, email).</w:t>
      </w:r>
    </w:p>
    <w:p>
      <w:pPr>
        <w:pStyle w:val="BodyText"/>
      </w:pPr>
      <w:r>
        <w:t xml:space="preserve">Regole: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 solo punto di modifica.</w:t>
      </w:r>
      <w:r>
        <w:t xml:space="preserve"> </w:t>
      </w:r>
      <w:r>
        <w:t xml:space="preserve">Un dato della sede si corregge in RetailTune, mai a mano su Google né nelle TV.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 senza parametri nell'archivio.</w:t>
      </w:r>
      <w:r>
        <w:t xml:space="preserve"> </w:t>
      </w:r>
      <w:r>
        <w:t xml:space="preserve">In RetailTune il sito è l'URL canonico senza parametri; i parametri UTM li</w:t>
      </w:r>
      <w:r>
        <w:t xml:space="preserve"> </w:t>
      </w:r>
      <w:r>
        <w:t xml:space="preserve">aggiunge RetailTune solo nella sincronizzazione verso Google. Così le TV e il markup restano puliti.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Nome ufficiale.</w:t>
      </w:r>
      <w:r>
        <w:t xml:space="preserve"> </w:t>
      </w:r>
      <w:r>
        <w:t xml:space="preserve">Il nome della sede è</w:t>
      </w:r>
      <w:r>
        <w:t xml:space="preserve"> </w:t>
      </w:r>
      <w:r>
        <w:rPr>
          <w:rStyle w:val="VerbatimChar"/>
        </w:rPr>
        <w:t xml:space="preserve">str.nome</w:t>
      </w:r>
      <w:r>
        <w:t xml:space="preserve"> </w:t>
      </w:r>
      <w:r>
        <w:t xml:space="preserve">(RetailTune → TV); la scheda Google usa lo stesso, carattere per</w:t>
      </w:r>
      <w:r>
        <w:t xml:space="preserve"> </w:t>
      </w:r>
      <w:r>
        <w:t xml:space="preserve">carattere.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Codice sede.</w:t>
      </w:r>
      <w:r>
        <w:t xml:space="preserve"> </w:t>
      </w:r>
      <w:r>
        <w:t xml:space="preserve">Ogni sede ha un codice stabile, lo stesso in RetailTune, nella scheda Google («Codice negozio») e</w:t>
      </w:r>
      <w:r>
        <w:t xml:space="preserve"> </w:t>
      </w:r>
      <w:r>
        <w:t xml:space="preserve">nella TV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. Negli export del 26/10 ci sono 92 codici</w:t>
      </w:r>
      <w:r>
        <w:t xml:space="preserve"> </w:t>
      </w:r>
      <w:r>
        <w:rPr>
          <w:rStyle w:val="VerbatimChar"/>
        </w:rPr>
        <w:t xml:space="preserve">KCA00_…</w:t>
      </w:r>
      <w:r>
        <w:t xml:space="preserve">, 18 numerici, 18 liberi («Temporary 1»,</w:t>
      </w:r>
      <w:r>
        <w:t xml:space="preserve"> </w:t>
      </w:r>
      <w:r>
        <w:t xml:space="preserve">«Villalba», «BGOMAN», «RAACampiBisenzio»…) e 10 vuoti. Vanno normalizzati una sola volta, con il codice che usa</w:t>
      </w:r>
      <w:r>
        <w:t xml:space="preserve"> </w:t>
      </w:r>
      <w:r>
        <w:t xml:space="preserve">RetailTune (punto aperto 3), con un caricamento massivo dal pannello di Google Business Profile in una data fissata con</w:t>
      </w:r>
      <w:r>
        <w:t xml:space="preserve"> </w:t>
      </w:r>
      <w:r>
        <w:t xml:space="preserve">RetailTune, fuori dalla finestra di passaggio, registrato nel registro con origine «migrazione». È l'unica eccezione</w:t>
      </w:r>
      <w:r>
        <w:t xml:space="preserve"> </w:t>
      </w:r>
      <w:r>
        <w:t xml:space="preserve">alla regola «nessuna modifica a mano su Google».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Confronto a tre</w:t>
      </w:r>
      <w:r>
        <w:t xml:space="preserve"> </w:t>
      </w:r>
      <w:r>
        <w:t xml:space="preserve">(sito, RetailTune, export Google) dopo ogni importazione e ogni trimestre; le differenze si</w:t>
      </w:r>
      <w:r>
        <w:t xml:space="preserve"> </w:t>
      </w:r>
      <w:r>
        <w:t xml:space="preserve">correggono in RetailTune. Prima del confronto i valori si normalizzano: telefono in formato internazionale</w:t>
      </w:r>
      <w:r>
        <w:t xml:space="preserve"> </w:t>
      </w:r>
      <w:r>
        <w:t xml:space="preserve">(+39…) senza spazi; abbreviazioni dell'indirizzo sciolte («V.», «V.le», «P.zza»); URL senza parametri e senza barra</w:t>
      </w:r>
      <w:r>
        <w:t xml:space="preserve"> </w:t>
      </w:r>
      <w:r>
        <w:t xml:space="preserve">finale.</w:t>
      </w:r>
    </w:p>
    <w:p>
      <w:pPr>
        <w:pStyle w:val="FirstParagraph"/>
      </w:pPr>
      <w:r>
        <w:t xml:space="preserve">Verifica: dopo la normalizzazione il confronto a tre non trova differenze su nome, indirizzo, telefono, sito e orari, e</w:t>
      </w:r>
      <w:r>
        <w:t xml:space="preserve"> </w:t>
      </w:r>
      <w:r>
        <w:t xml:space="preserve">ogni riga ha lo stesso codice sede nei tre sistemi.</w:t>
      </w:r>
    </w:p>
    <w:bookmarkEnd w:id="25"/>
    <w:bookmarkStart w:id="33" w:name="X12cf85615ebfda6c5af3c2c05e32ca102cd2256"/>
    <w:p>
      <w:pPr>
        <w:pStyle w:val="Heading2"/>
      </w:pPr>
      <w:r>
        <w:t xml:space="preserve">5. Schede Google</w:t>
      </w:r>
    </w:p>
    <w:bookmarkStart w:id="26" w:name="account-e-gruppi"/>
    <w:p>
      <w:pPr>
        <w:pStyle w:val="Heading3"/>
      </w:pPr>
      <w:r>
        <w:t xml:space="preserve">Account e gruppi</w:t>
      </w:r>
    </w:p>
    <w:p>
      <w:pPr>
        <w:pStyle w:val="FirstParagraph"/>
      </w:pPr>
      <w:r>
        <w:t xml:space="preserve">Sei gruppi di sedi (export del 26/10 in</w:t>
      </w:r>
      <w:r>
        <w:t xml:space="preserve"> </w:t>
      </w:r>
      <w:r>
        <w:rPr>
          <w:rStyle w:val="VerbatimChar"/>
        </w:rPr>
        <w:t xml:space="preserve">kosgroup/dati/voce-24/gbp/</w:t>
      </w:r>
      <w:r>
        <w:t xml:space="preserve">): Anni Azzurri (60), Centri ambulatoriali (15),</w:t>
      </w:r>
      <w:r>
        <w:t xml:space="preserve"> </w:t>
      </w:r>
      <w:r>
        <w:t xml:space="preserve">Extra Yext (26), Poliambulatori (14), Psichiatria (9), Riabilitazione (14). Danilo indica KOS come proprietario;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 </w:t>
      </w:r>
      <w:r>
        <w:t xml:space="preserve">riporta però che i profili sono collegati all'organizzazione Google di Yext, e nell'account di Danilo</w:t>
      </w:r>
      <w:r>
        <w:t xml:space="preserve"> </w:t>
      </w:r>
      <w:r>
        <w:t xml:space="preserve">il gruppo Anni Azzurri non compare. Il trasferimento della proprietà di tutti i gruppi a un account KOS va verificato</w:t>
      </w:r>
      <w:r>
        <w:t xml:space="preserve"> </w:t>
      </w:r>
      <w:r>
        <w:t xml:space="preserve">nel pannello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che Yext venga dismesso (punto aperto 2): senza, si perde l'accesso alle schede.</w:t>
      </w:r>
    </w:p>
    <w:bookmarkEnd w:id="26"/>
    <w:bookmarkStart w:id="27" w:name="X0a0aee29f3cd5c6c6eaa6296fe15612d5e4c426"/>
    <w:p>
      <w:pPr>
        <w:pStyle w:val="Heading3"/>
      </w:pPr>
      <w:r>
        <w:t xml:space="preserve">Schede da sistemare prima della migrazione</w:t>
      </w:r>
    </w:p>
    <w:p>
      <w:pPr>
        <w:pStyle w:val="FirstParagraph"/>
      </w:pPr>
      <w:r>
        <w:t xml:space="preserve">Dagli export del 26/10. La decisione su ciascuna spetta a KOS; quella indicata è la proposta.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Residenza Anni Azzurri La Margherita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Residenza chiusa (confermato il 19/10), scheda ancora pubblicata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Segnare come chiusa definitivamente, dopo aver esportato le recensioni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Residenza Anni Azzurri Villalba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sopra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sopra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Residenza Anni Azzurri Villa Olga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pagina ha il canonical verso Idice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Verificare con KOS se la sede esiste; se no, chiusa come sopra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Villalba (codice «Villalba») e Poliambulatorio Villalba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schede, stesso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sola scheda (richiesta di unione dei duplicati a Google, non cancellazione)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Poliambulatorio Centro Cardinal Ferrari e Centro Cardinal Ferrari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schede, stesso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sola, salvo che il poliambulatorio abbia ingresso e orari propri: allora pagina propria e URL proprio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 Diagnostico Villa dei Pini e Villa dei Pini Civitanova Marche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schede, stesso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sopra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Anni Azzurri a Casa Monza e Anni Azzurri a Casa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schede con area servita per lo stesso servizio, stesso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sola scheda con area servita (Monza e Milano), indirizzo nascosto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Residenze Anni Azzurri (ufficio aziendale), KOS Servizi S.c.ar.l.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Schede di uffici, non di sedi per il pubblico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Tenerle solo se l'ufficio riceve il pubblico; sito con l'URL canonico, non</w:t>
            </w:r>
            <w:r>
              <w:t xml:space="preserve"> </w:t>
            </w:r>
            <w:r>
              <w:rPr>
                <w:rStyle w:val="VerbatimChar"/>
              </w:rPr>
              <w:t xml:space="preserve">http://www.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Istituto Neuroscienze Neomesia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Sospesa, sito su neomesia.com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Capire con KOS il motivo della sospensione prima di qualsiasi modifica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Villamare Neomesia, Fisioclinics, Punto prelievi Centro Ambulatoriale Civitanova Marche, CSOx Centro Stress Ossidativo, Clinica Dentale Villa dei Pini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Sito su domini storici o esterni (neomesia.com, polodiagnostico.it, centrostressossidativo.it, laclinicadentale.com)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Nuovo sito = pagina corrispondente su kosgroup.com, da aggiornare</w:t>
            </w:r>
            <w:r>
              <w:t xml:space="preserve"> </w:t>
            </w:r>
            <w:r>
              <w:rPr>
                <w:bCs/>
                <w:b/>
              </w:rPr>
              <w:t xml:space="preserve">prima</w:t>
            </w:r>
            <w:r>
              <w:t xml:space="preserve"> </w:t>
            </w:r>
            <w:r>
              <w:t xml:space="preserve">dei reindirizzamenti dei domini storici (le linee guida vietano URL che reindirizzano)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Sanfré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Sito vuoto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 su kosgroup.com, se esiste; altrimenti punto aperto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Hospice San Giorgio a Colonica, Hospice Beati Coniugi Martin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principale «Casa di riposo» e «Ospedale»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coerente con l'hospice (punto aperto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Santo Stefano Cagli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pubblicata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Completare la verifica</w:t>
            </w:r>
          </w:p>
        </w:tc>
      </w:tr>
    </w:tbl>
    <w:bookmarkEnd w:id="27"/>
    <w:bookmarkStart w:id="29" w:name="nome-indirizzo-telefono-sito"/>
    <w:p>
      <w:pPr>
        <w:pStyle w:val="Heading3"/>
      </w:pPr>
      <w:r>
        <w:t xml:space="preserve">Nome, indirizzo, telefono, sito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nome ufficiale (</w:t>
            </w:r>
            <w:r>
              <w:rPr>
                <w:rStyle w:val="VerbatimChar"/>
              </w:rPr>
              <w:t xml:space="preserve">str.nome</w:t>
            </w:r>
            <w:r>
              <w:t xml:space="preserve">), senza parole chiave aggiunte («RSA», città, servizi)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Linee guida per la rappresentazione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numeri ufficiali della sede, gli stessi del sito e della carta dei servizi; niente numeri di tracciamento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Linee guida; regola del progetto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L'URL canonico della pagina della sede; nella scheda RetailTune aggiunge</w:t>
            </w:r>
            <w:r>
              <w:t xml:space="preserve"> </w:t>
            </w:r>
            <w:r>
              <w:rPr>
                <w:rStyle w:val="VerbatimChar"/>
              </w:rPr>
              <w:t xml:space="preserve">utm_source=google&amp;utm_medium=organic&amp;utm_campaign=gbp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a KOS del 29/10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Uguale a quello della pagina e del markup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Archivio</w:t>
            </w:r>
          </w:p>
        </w:tc>
      </w:tr>
    </w:tbl>
    <w:p>
      <w:pPr>
        <w:pStyle w:val="Body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utm_medium=organic</w:t>
      </w:r>
      <w:r>
        <w:t xml:space="preserve"> </w:t>
      </w:r>
      <w:r>
        <w:t xml:space="preserve">il traffico dalle schede resta dentro «Organic Search» in GA4, distinguibile per campagna: è</w:t>
      </w:r>
      <w:r>
        <w:t xml:space="preserve"> </w:t>
      </w:r>
      <w:r>
        <w:t xml:space="preserve">una scelta voluta, da confermare con KOS insieme agli UTM.</w:t>
      </w:r>
    </w:p>
    <w:p>
      <w:pPr>
        <w:pStyle w:val="BodyText"/>
      </w:pPr>
      <w:r>
        <w:t xml:space="preserve">Verifica: il nome di ogni scheda è uguale a</w:t>
      </w:r>
      <w:r>
        <w:t xml:space="preserve"> </w:t>
      </w:r>
      <w:r>
        <w:rPr>
          <w:rStyle w:val="VerbatimChar"/>
        </w:rPr>
        <w:t xml:space="preserve">str.nome</w:t>
      </w:r>
      <w:r>
        <w:t xml:space="preserve">; ogni campo «Sito» punta a</w:t>
      </w:r>
      <w:r>
        <w:t xml:space="preserve"> </w:t>
      </w:r>
      <w:r>
        <w:rPr>
          <w:rStyle w:val="VerbatimChar"/>
        </w:rPr>
        <w:t xml:space="preserve">kosgroup.com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anniazzurri.it</w:t>
      </w:r>
      <w:r>
        <w:t xml:space="preserve">, a una</w:t>
      </w:r>
      <w:r>
        <w:t xml:space="preserve"> </w:t>
      </w:r>
      <w:r>
        <w:t xml:space="preserve">pagina che risponde 200 con canonical uguale all'URL senza parametri.</w:t>
      </w:r>
    </w:p>
    <w:bookmarkEnd w:id="29"/>
    <w:bookmarkStart w:id="30" w:name="categorie-residenze-anni-azzurri"/>
    <w:p>
      <w:pPr>
        <w:pStyle w:val="Heading3"/>
      </w:pPr>
      <w:r>
        <w:t xml:space="preserve">Categorie: residenze Anni Azzurri</w:t>
      </w:r>
    </w:p>
    <w:p>
      <w:pPr>
        <w:pStyle w:val="FirstParagraph"/>
      </w:pPr>
      <w:r>
        <w:t xml:space="preserve">Decise il 29/10, da validare con PWC</w:t>
      </w:r>
      <w:r>
        <w:t xml:space="preserve"> </w:t>
      </w:r>
      <w:r>
        <w:rPr>
          <w:bCs/>
          <w:b/>
        </w:rPr>
        <w:t xml:space="preserve">sui codici delle categorie</w:t>
      </w:r>
      <w:r>
        <w:t xml:space="preserve">, non sui nomi italiani: nel selettore alcuni nomi</w:t>
      </w:r>
      <w:r>
        <w:t xml:space="preserve"> </w:t>
      </w:r>
      <w:r>
        <w:t xml:space="preserve">compaiono due volte e indicano categorie diverse («Casa di riposo», «Servizio di assistenza domiciliare»), e le</w:t>
      </w:r>
      <w:r>
        <w:t xml:space="preserve"> </w:t>
      </w:r>
      <w:r>
        <w:t xml:space="preserve">traduzioni non dicono abbastanza («Centro anziani» in inglese è un centro sociale per anziani). Il codice di ogni</w:t>
      </w:r>
      <w:r>
        <w:t xml:space="preserve"> </w:t>
      </w:r>
      <w:r>
        <w:t xml:space="preserve">categoria lo fornisce RetailTune (punto aperto 4).</w:t>
      </w:r>
    </w:p>
    <w:p>
      <w:pPr>
        <w:pStyle w:val="BodyText"/>
      </w:pPr>
      <w:r>
        <w:t xml:space="preserve">Valgono per tutte le residenze insieme, in deroga alla proposta del piano (test su un sottogruppo): le linee guida</w:t>
      </w:r>
      <w:r>
        <w:t xml:space="preserve"> </w:t>
      </w:r>
      <w:r>
        <w:t xml:space="preserve">chiedono la stessa categoria per le sedi di una catena che offrono lo stesso servizio, e tutte le 57 residenze aperte sono</w:t>
      </w:r>
      <w:r>
        <w:t xml:space="preserve"> </w:t>
      </w:r>
      <w:r>
        <w:t xml:space="preserve">socio-sanitarie (carte dei servizi,</w:t>
      </w:r>
      <w:r>
        <w:t xml:space="preserve"> </w:t>
      </w:r>
      <w:r>
        <w:rPr>
          <w:rStyle w:val="VerbatimChar"/>
        </w:rPr>
        <w:t xml:space="preserve">anniazzurri/dati/accreditamento-residenze-2026-10-29.xlsx</w:t>
      </w:r>
      <w:r>
        <w:t xml:space="preserve">: 57 pagine; Ducale 2-3 e</w:t>
      </w:r>
      <w:r>
        <w:t xml:space="preserve"> </w:t>
      </w:r>
      <w:r>
        <w:t xml:space="preserve">PGR Milano raccolgono due unità ciascuna). Le residenze chiuse (tabella sopra) sono escluse.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riposo (il codice che corrisponde a una struttura con assistenza sanitaria)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Principale; oggi è «Casa di cura» su 57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cura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Aggiuntiva, solo se è un codice diverso dalla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agli 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Aggiuntiva, se il codice corrisponde a un servizio di assistenza agli 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togliere se il codice corrisponde a un centro sociale per anziani (oggi su 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diurno per adulti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centro diurno integrato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di 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unità di riabilitazione (PGR Milano, PGR Cinisello, Mirasole, Rezzato, Dorica…)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cura per lungodegenti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cure intermedie o post-acuzie (Villa Reale, San Luca)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di assistenza domiciliare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RSA Aperta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Geriatra, Servizio di salute mentale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togliere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Oggi su 51 e 42 residenze</w:t>
            </w:r>
          </w:p>
        </w:tc>
      </w:tr>
    </w:tbl>
    <w:p>
      <w:pPr>
        <w:pStyle w:val="BodyText"/>
      </w:pPr>
      <w:r>
        <w:t xml:space="preserve">Categoria Google e tipo schema.org seguono criteri diversi e non devono coincidere: la categoria si sceglie per ciò che</w:t>
      </w:r>
      <w:r>
        <w:t xml:space="preserve"> </w:t>
      </w:r>
      <w:r>
        <w:t xml:space="preserve">cercano le famiglie e per la regola delle catene, il tipo schema.org per l'autorizzazione della struttura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MedicalBusiness</w:t>
      </w:r>
      <w:r>
        <w:t xml:space="preserve">, socio-sanitaria). Non è una contraddizione.</w:t>
      </w:r>
    </w:p>
    <w:p>
      <w:pPr>
        <w:pStyle w:val="BodyText"/>
      </w:pPr>
      <w:r>
        <w:t xml:space="preserve">Motivazioni e fonti:</w:t>
      </w:r>
    </w:p>
    <w:p>
      <w:pPr>
        <w:numPr>
          <w:ilvl w:val="0"/>
          <w:numId w:val="1004"/>
        </w:numPr>
        <w:pStyle w:val="Compact"/>
      </w:pPr>
      <w:r>
        <w:t xml:space="preserve">Concorrenti verificati su Google Maps il 29/10: Korian/Clariane (8 schede), Sereni Orizzonti (9 su 10), Gruppo La Villa</w:t>
      </w:r>
      <w:r>
        <w:t xml:space="preserve"> </w:t>
      </w:r>
      <w:r>
        <w:t xml:space="preserve">(8), Gheron usano «Casa di riposo» come principale. Nelle ricerche «RSA Milano» e «casa di riposo Torino» 19 risultati</w:t>
      </w:r>
      <w:r>
        <w:t xml:space="preserve"> </w:t>
      </w:r>
      <w:r>
        <w:t xml:space="preserve">su 20 hanno «Casa di riposo». Le aggiuntive di Korian («Casa di cura», «Centro anziani», «Assistenza agli anziani») sono</w:t>
      </w:r>
      <w:r>
        <w:t xml:space="preserve"> </w:t>
      </w:r>
      <w:r>
        <w:t xml:space="preserve">un indizio, non una motivazione: ogni aggiuntiva deve corrispondere a un servizio reale.</w:t>
      </w:r>
    </w:p>
    <w:p>
      <w:pPr>
        <w:numPr>
          <w:ilvl w:val="0"/>
          <w:numId w:val="1004"/>
        </w:numPr>
        <w:pStyle w:val="Compact"/>
      </w:pPr>
      <w:r>
        <w:t xml:space="preserve">Elenco delle categorie letto nel selettore di Google Business Profile il 29/10 (senza salvare), cercando «anzian»,</w:t>
      </w:r>
      <w:r>
        <w:t xml:space="preserve"> </w:t>
      </w:r>
      <w:r>
        <w:t xml:space="preserve">«riposo», «cura», «assist», «residenz», «alzheimer», «demenz», «diurn», «riabilit», «domicil», «hospice», «palliat»,</w:t>
      </w:r>
      <w:r>
        <w:t xml:space="preserve"> </w:t>
      </w:r>
      <w:r>
        <w:t xml:space="preserve">«disabil»: nessuna voce italiana per Alzheimer, demenza, residenza assistita o hospice come struttura. Nel catalogo</w:t>
      </w:r>
      <w:r>
        <w:t xml:space="preserve"> </w:t>
      </w:r>
      <w:r>
        <w:t xml:space="preserve">globale esistono però categorie come hospice e assisted living facility: va controllato per codice con RetailTune se</w:t>
      </w:r>
      <w:r>
        <w:t xml:space="preserve"> </w:t>
      </w:r>
      <w:r>
        <w:t xml:space="preserve">hanno un'etichetta italiana diversa.</w:t>
      </w:r>
    </w:p>
    <w:p>
      <w:pPr>
        <w:numPr>
          <w:ilvl w:val="0"/>
          <w:numId w:val="1004"/>
        </w:numPr>
        <w:pStyle w:val="Compact"/>
      </w:pPr>
      <w:r>
        <w:t xml:space="preserve">«Geriatra» e simili sono categorie per singoli medici: su Mirasole Google classifica la residenza come «doctor».</w:t>
      </w:r>
    </w:p>
    <w:p>
      <w:pPr>
        <w:numPr>
          <w:ilvl w:val="0"/>
          <w:numId w:val="1004"/>
        </w:numPr>
        <w:pStyle w:val="Compact"/>
      </w:pPr>
      <w:r>
        <w:t xml:space="preserve">Anomalie: Valdaso (principale «Centro di riabilitazione»), Conero («Servizio di salute mentale»), Borgomanero («Casa di</w:t>
      </w:r>
      <w:r>
        <w:t xml:space="preserve"> </w:t>
      </w:r>
      <w:r>
        <w:t xml:space="preserve">riposo» senza aggiuntive).</w:t>
      </w:r>
    </w:p>
    <w:p>
      <w:pPr>
        <w:pStyle w:val="FirstParagraph"/>
      </w:pPr>
      <w:r>
        <w:t xml:space="preserve">Quando e come:</w:t>
      </w:r>
    </w:p>
    <w:p>
      <w:pPr>
        <w:numPr>
          <w:ilvl w:val="0"/>
          <w:numId w:val="1005"/>
        </w:numPr>
        <w:pStyle w:val="Compact"/>
      </w:pPr>
      <w:r>
        <w:t xml:space="preserve">Dopo la finestra di passaggio da Yext a RetailTune, durante la quale non si modificano i profili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docs/piano-sprint-1.md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passi distanziati di 1-2 settimane, per non cambiare tutto insieme su 138 schede (molte modifiche simultanee possono</w:t>
      </w:r>
      <w:r>
        <w:t xml:space="preserve"> </w:t>
      </w:r>
      <w:r>
        <w:t xml:space="preserve">portare a revisioni o sospensioni): prima i codici sede, poi i siti e gli UTM, poi le categorie.</w:t>
      </w:r>
    </w:p>
    <w:p>
      <w:pPr>
        <w:numPr>
          <w:ilvl w:val="0"/>
          <w:numId w:val="1005"/>
        </w:numPr>
        <w:pStyle w:val="Compact"/>
      </w:pPr>
      <w:r>
        <w:t xml:space="preserve">Misura: posizione nelle ricerche «RSA &lt;città&gt;» e «casa di riposo &lt;città&gt;» per 10 residenze, prima del cambio e dopo 4-6</w:t>
      </w:r>
      <w:r>
        <w:t xml:space="preserve"> </w:t>
      </w:r>
      <w:r>
        <w:t xml:space="preserve">settimane. Il termine di confronto sono i concorrenti nelle stesse ricerche, non le strutture KOS (che in quelle</w:t>
      </w:r>
      <w:r>
        <w:t xml:space="preserve"> </w:t>
      </w:r>
      <w:r>
        <w:t xml:space="preserve">ricerche non compaiono). Tornare indietro sulla categoria è possibile, ma la storia del posizionamento non si</w:t>
      </w:r>
      <w:r>
        <w:t xml:space="preserve"> </w:t>
      </w:r>
      <w:r>
        <w:t xml:space="preserve">recupera: per questo la misura va preparata prima del cambio.</w:t>
      </w:r>
    </w:p>
    <w:p>
      <w:pPr>
        <w:pStyle w:val="FirstParagraph"/>
      </w:pPr>
      <w:r>
        <w:t xml:space="preserve">Verifica: nell'export Google tutte le residenze aperte hanno la stessa principale (stesso codice) e solo le aggiuntive</w:t>
      </w:r>
      <w:r>
        <w:t xml:space="preserve"> </w:t>
      </w:r>
      <w:r>
        <w:t xml:space="preserve">previste dalla tabella; nessuna ha «Geriatra» o «Servizio di salute mentale».</w:t>
      </w:r>
    </w:p>
    <w:bookmarkEnd w:id="30"/>
    <w:bookmarkStart w:id="31" w:name="categorie-strutture-kos"/>
    <w:p>
      <w:pPr>
        <w:pStyle w:val="Heading3"/>
      </w:pPr>
      <w:r>
        <w:t xml:space="preserve">Categorie: strutture KOS</w:t>
      </w:r>
    </w:p>
    <w:p>
      <w:pPr>
        <w:pStyle w:val="FirstParagraph"/>
      </w:pPr>
      <w:r>
        <w:t xml:space="preserve">Stesse regole (principale specifica, poche aggiuntive per reparti o servizi reali, mai categorie per singoli</w:t>
      </w:r>
      <w:r>
        <w:t xml:space="preserve"> </w:t>
      </w:r>
      <w:r>
        <w:t xml:space="preserve">professionisti), gruppo per gruppo, con gli stessi passi e la stessa misura. Dall'export del 26/10 sono da rivedere</w:t>
      </w:r>
      <w:r>
        <w:t xml:space="preserve"> </w:t>
      </w:r>
      <w:r>
        <w:t xml:space="preserve">almeno:</w:t>
      </w:r>
    </w:p>
    <w:p>
      <w:pPr>
        <w:numPr>
          <w:ilvl w:val="0"/>
          <w:numId w:val="1006"/>
        </w:numPr>
        <w:pStyle w:val="Compact"/>
      </w:pPr>
      <w:r>
        <w:t xml:space="preserve">categorie per professionisti su strutture: «Pediatra» (13), «Psicologo» (11), «Logopedista» (10) nei Centri</w:t>
      </w:r>
      <w:r>
        <w:t xml:space="preserve"> </w:t>
      </w:r>
      <w:r>
        <w:t xml:space="preserve">ambulatoriali; «Fisiatra», «Fisioterapista» nella Riabilitazione; «Psichiatra» in Psichiatria ed Extra Yext;</w:t>
      </w:r>
    </w:p>
    <w:p>
      <w:pPr>
        <w:numPr>
          <w:ilvl w:val="0"/>
          <w:numId w:val="1006"/>
        </w:numPr>
        <w:pStyle w:val="Compact"/>
      </w:pPr>
      <w:r>
        <w:t xml:space="preserve">categorie estranee: «Sala biliardi» su 2 Centri ambulatoriali, «Automazione e robotica» in Extra Yext.</w:t>
      </w:r>
    </w:p>
    <w:p>
      <w:pPr>
        <w:pStyle w:val="FirstParagraph"/>
      </w:pPr>
      <w:r>
        <w:t xml:space="preserve">Verifica: come per le residenze, gruppo per gruppo.</w:t>
      </w:r>
    </w:p>
    <w:bookmarkEnd w:id="31"/>
    <w:bookmarkStart w:id="32" w:name="reparti-servizi-e-professionisti"/>
    <w:p>
      <w:pPr>
        <w:pStyle w:val="Heading3"/>
      </w:pPr>
      <w:r>
        <w:t xml:space="preserve">Reparti, servizi e professionisti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Reparti nella stessa sede</w:t>
      </w:r>
      <w:r>
        <w:t xml:space="preserve">: una sola scheda, salvo che il reparto abbia ingresso, nome e gestione propri (regola</w:t>
      </w:r>
      <w:r>
        <w:t xml:space="preserve"> </w:t>
      </w:r>
      <w:r>
        <w:t xml:space="preserve">dei reparti delle linee guida).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Servizi senza sede propria</w:t>
      </w:r>
      <w:r>
        <w:t xml:space="preserve"> </w:t>
      </w:r>
      <w:r>
        <w:t xml:space="preserve">(RSA Aperta, assistenza domiciliare): al massimo una scheda con area servita e</w:t>
      </w:r>
      <w:r>
        <w:t xml:space="preserve"> </w:t>
      </w:r>
      <w:r>
        <w:t xml:space="preserve">indirizzo nascosto, come prevedono le linee guida; altrimenti la categoria aggiuntiva sulla residenza che li eroga.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Professionisti</w:t>
      </w:r>
      <w:r>
        <w:t xml:space="preserve">: nessuna scheda per singolo medico creata dal progetto. Se KOS le vuole, è una decisione a parte</w:t>
      </w:r>
      <w:r>
        <w:t xml:space="preserve"> </w:t>
      </w:r>
      <w:r>
        <w:t xml:space="preserve">(punto aperto 5).</w:t>
      </w:r>
    </w:p>
    <w:bookmarkEnd w:id="32"/>
    <w:bookmarkEnd w:id="33"/>
    <w:bookmarkStart w:id="34" w:name="X37a08126dc4535032e0540cd1b4c877e1c91dba"/>
    <w:p>
      <w:pPr>
        <w:pStyle w:val="Heading2"/>
      </w:pPr>
      <w:r>
        <w:t xml:space="preserve">6. Regole fisse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vale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 numeri di telefono ufficiali della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Scheda, pagina, markup, risposte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a 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Comunicazione sanitaria solo informativa, senza elementi promozionali o suggestivi (L. 145/2018, art. 1 c. 525; Codice deontologico artt. 55-56)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 della scheda, post, pagine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dei testi prima della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Nelle risposte alle recensioni mai dati sanitari, mai confermare che l'autore è un paziente, mai citare 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Risposte (gestite da RetailTune)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Campione mensile di 20 risposte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Richiesta di recensione uguale per tutti, senza incentivi né filtri sui soddisfatti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 di 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Istruzioni scritte al personale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markup descrive solo ciò che è scritto nella 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Results Test sul codice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Nessuna modifica a mano su Google (eccezione: codici sede, §4)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Ogni trimestre: differenze tra export Google e dati RetailTune; ogni differenza senza riga nel registro è una modifica a mano. La colonna «Aggiornamenti Google» dell'export segnala anche le modifiche proposte da Google</w:t>
            </w:r>
          </w:p>
        </w:tc>
      </w:tr>
    </w:tbl>
    <w:bookmarkEnd w:id="34"/>
    <w:bookmarkStart w:id="35" w:name="X9a7309aeffa2fba2e141d3f049672c0bb9af597"/>
    <w:p>
      <w:pPr>
        <w:pStyle w:val="Heading2"/>
      </w:pPr>
      <w:r>
        <w:t xml:space="preserve">7. Registro delle modifiche alle schede</w:t>
      </w:r>
    </w:p>
    <w:p>
      <w:pPr>
        <w:pStyle w:val="FirstParagraph"/>
      </w:pPr>
      <w:r>
        <w:t xml:space="preserve">Ogni modifica a una scheda, fatta dal progetto o chiesta a RetailTune, entra in un registro unico per i due siti,</w:t>
      </w:r>
      <w:r>
        <w:t xml:space="preserve"> </w:t>
      </w:r>
      <w:r>
        <w:t xml:space="preserve">accanto agli export:</w:t>
      </w:r>
      <w:r>
        <w:t xml:space="preserve"> </w:t>
      </w:r>
      <w:r>
        <w:rPr>
          <w:rStyle w:val="VerbatimChar"/>
        </w:rPr>
        <w:t xml:space="preserve">kosgroup/dati/voce-24/gbp/registro.csv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AAAA-MM-GG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codice_sede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Codice negozio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della scheda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categoria principale, categorie aggiuntive, sito, telefono, orari, descrizione…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 prima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 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Regola di questa specifica o richiesta di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richiesto_da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eseguito_da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o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RetailTune, migrazione,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esito del controllo sull'export successivo</w:t>
            </w:r>
          </w:p>
        </w:tc>
      </w:tr>
    </w:tbl>
    <w:bookmarkEnd w:id="35"/>
    <w:bookmarkStart w:id="36" w:name="Xa29be8f386a51c7d1abf4f631a2dbff0d6e439f"/>
    <w:p>
      <w:pPr>
        <w:pStyle w:val="Heading2"/>
      </w:pPr>
      <w:r>
        <w:t xml:space="preserve">8. Stato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 KOS S.p.A. e KOS Care, briciole, 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Libreria del nodo struttura (KOS voce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spenta; si accende con l'import 2-6/11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strutturato delle residenze 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 (27/11)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 e professionisti 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 (voce 11); widget per medico dopo l'esportazione dal gestionale verso 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Società del gruppo,</w:t>
            </w:r>
            <w:r>
              <w:t xml:space="preserve"> </w:t>
            </w:r>
            <w:r>
              <w:rPr>
                <w:rStyle w:val="VerbatimChar"/>
              </w:rPr>
              <w:t xml:space="preserve">#department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</w:t>
            </w:r>
            <w:r>
              <w:t xml:space="preserve"> </w:t>
            </w:r>
            <w:r>
              <w:t xml:space="preserve">come riferimento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29/10; implementazione con la tabella struttura → società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Archivio RetailTune e sincronizzazione delle schede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avvio (contratto in firma)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Decise il 29/10, da validare con PWC sui codici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Proposti a KOS il 29/10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 KOS, codici sede, schede da sistemare,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Previsti con la migrazione, a passi</w:t>
            </w:r>
          </w:p>
        </w:tc>
      </w:tr>
    </w:tbl>
    <w:bookmarkEnd w:id="36"/>
    <w:bookmarkStart w:id="37" w:name="Xa13d8b3535a4a7e0f52461ac653b504e2176447"/>
    <w:p>
      <w:pPr>
        <w:pStyle w:val="Heading2"/>
      </w:pPr>
      <w:r>
        <w:t xml:space="preserve">9. Punti aperti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Tabella struttura → società</w:t>
      </w:r>
      <w:r>
        <w:t xml:space="preserve"> </w:t>
      </w:r>
      <w:r>
        <w:t xml:space="preserve">che gestisce ciascuna struttura (la sta chiedendo Danilo).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Proprietà dei profili</w:t>
      </w:r>
      <w:r>
        <w:t xml:space="preserve">: trasferimento di tutti i gruppi da Yext a un account KOS, verificato nel pannello prima</w:t>
      </w:r>
      <w:r>
        <w:t xml:space="preserve"> </w:t>
      </w:r>
      <w:r>
        <w:t xml:space="preserve">della dismissione di Yext.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Codice sede di RetailTune</w:t>
      </w:r>
      <w:r>
        <w:t xml:space="preserve">: quale usano per agganciare le schede, e data del caricamento massivo.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Codici delle categorie</w:t>
      </w:r>
      <w:r>
        <w:t xml:space="preserve"> </w:t>
      </w:r>
      <w:r>
        <w:t xml:space="preserve">da RetailTune: le due «Casa di riposo», le due «Servizio di assistenza domiciliare»,</w:t>
      </w:r>
      <w:r>
        <w:t xml:space="preserve"> </w:t>
      </w:r>
      <w:r>
        <w:t xml:space="preserve">«Casa di cura», «Centro anziani», «Assistenza agli anziani», hospice; quale usa Korian.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Schede dei singoli medici</w:t>
      </w:r>
      <w:r>
        <w:t xml:space="preserve">: KOS le vuole?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Schede da sistemare</w:t>
      </w:r>
      <w:r>
        <w:t xml:space="preserve"> </w:t>
      </w:r>
      <w:r>
        <w:t xml:space="preserve">(tabella del §5): decisione di KOS su ciascuna.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Importazione notturna da RetailTune</w:t>
      </w:r>
      <w:r>
        <w:t xml:space="preserve">: canale (API), chi la gestisce, dove gira.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Validazione delle categorie con PWC</w:t>
      </w:r>
      <w:r>
        <w:t xml:space="preserve"> </w:t>
      </w:r>
      <w:r>
        <w:t xml:space="preserve">e conferma degli UTM con KOS.</w:t>
      </w:r>
    </w:p>
    <w:bookmarkEnd w:id="37"/>
    <w:bookmarkStart w:id="43" w:name="Xe57d65a6ca38fc434940687474691405883c838"/>
    <w:p>
      <w:pPr>
        <w:pStyle w:val="Heading2"/>
      </w:pPr>
      <w:r>
        <w:t xml:space="preserve">10. Riferimenti</w:t>
      </w:r>
    </w:p>
    <w:p>
      <w:pPr>
        <w:numPr>
          <w:ilvl w:val="0"/>
          <w:numId w:val="1009"/>
        </w:numPr>
        <w:pStyle w:val="Compact"/>
      </w:pPr>
      <w:r>
        <w:t xml:space="preserve">Google:</w:t>
      </w:r>
      <w:r>
        <w:t xml:space="preserve"> </w:t>
      </w:r>
      <w:hyperlink r:id="rId28">
        <w:r>
          <w:rPr>
            <w:rStyle w:val="Hyperlink"/>
          </w:rPr>
          <w:t xml:space="preserve">linee guida per la rappresentazione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scelta della categoria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dato strutturato LocalBusiness</w:t>
        </w:r>
      </w:hyperlink>
      <w:r>
        <w:t xml:space="preserve">;</w:t>
      </w:r>
      <w:r>
        <w:t xml:space="preserve"> </w:t>
      </w:r>
      <w:r>
        <w:t xml:space="preserve">schema.org:</w:t>
      </w:r>
      <w:r>
        <w:t xml:space="preserve"> </w:t>
      </w:r>
      <w:hyperlink r:id="rId40">
        <w:r>
          <w:rPr>
            <w:rStyle w:val="Hyperlink"/>
          </w:rPr>
          <w:t xml:space="preserve">IndividualPhysician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practicesAt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worksFor</w:t>
        </w:r>
      </w:hyperlink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Progetto: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docs/convenzione-identificativi.md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docs/piano-sprint-1.md</w:t>
      </w:r>
      <w:r>
        <w:t xml:space="preserve"> </w:t>
      </w:r>
      <w:r>
        <w:t xml:space="preserve">(decisioni del 29/10),</w:t>
      </w:r>
      <w:r>
        <w:t xml:space="preserve"> </w:t>
      </w:r>
      <w:r>
        <w:rPr>
          <w:rStyle w:val="VerbatimChar"/>
        </w:rPr>
        <w:t xml:space="preserve">kosgroup/dati/voce-24/gbp/</w:t>
      </w:r>
      <w:r>
        <w:t xml:space="preserve"> </w:t>
      </w:r>
      <w:r>
        <w:t xml:space="preserve">(export delle schede),</w:t>
      </w:r>
      <w:r>
        <w:t xml:space="preserve"> </w:t>
      </w:r>
      <w:r>
        <w:rPr>
          <w:rStyle w:val="VerbatimChar"/>
        </w:rPr>
        <w:t xml:space="preserve">anniazzurri/dati/accreditamento-residenze-2026-10-29.xlsx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Revisione indipendente del 29/10 (modello Fable 5.1, senza il contesto della discussione): 25 rilievi, tutti</w:t>
      </w:r>
      <w:r>
        <w:t xml:space="preserve"> </w:t>
      </w:r>
      <w:r>
        <w:t xml:space="preserve">recepiti in questa versione salvo dove indicato nel §11.</w:t>
      </w:r>
    </w:p>
    <w:bookmarkEnd w:id="43"/>
    <w:bookmarkStart w:id="44" w:name="X8fa4936a69036d1f8c910ad9fa6b24057abfc63"/>
    <w:p>
      <w:pPr>
        <w:pStyle w:val="Heading2"/>
      </w:pPr>
      <w:r>
        <w:t xml:space="preserve">11. Rilievi della revisione non recepiti o recepiti in parte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Categorie «tutte insieme» contro il test su un sottogruppo del piano</w:t>
      </w:r>
      <w:r>
        <w:t xml:space="preserve">: recepito come deroga motivata (regola</w:t>
      </w:r>
      <w:r>
        <w:t xml:space="preserve"> </w:t>
      </w:r>
      <w:r>
        <w:t xml:space="preserve">delle catene), non come ritorno al campione; il piano interno si aggiorna di conseguenza.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«Centro anziani» e «Assistenza agli anziani»</w:t>
      </w:r>
      <w:r>
        <w:t xml:space="preserve">: non tolte d'ufficio; si decide sui codici delle categorie.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developers.google.com/search/docs/appearance/structured-data/local-business" TargetMode="External" /><Relationship Type="http://schemas.openxmlformats.org/officeDocument/2006/relationships/hyperlink" Id="rId20" Target="https://developers.google.com/search/docs/fundamentals/ai-optimization-guide" TargetMode="External" /><Relationship Type="http://schemas.openxmlformats.org/officeDocument/2006/relationships/hyperlink" Id="rId22" Target="https://kosgroup.com/it/chi-siamo/governance/dati-societari" TargetMode="External" /><Relationship Type="http://schemas.openxmlformats.org/officeDocument/2006/relationships/hyperlink" Id="rId40" Target="https://schema.org/IndividualPhysician" TargetMode="External" /><Relationship Type="http://schemas.openxmlformats.org/officeDocument/2006/relationships/hyperlink" Id="rId41" Target="https://schema.org/practicesAt" TargetMode="External" /><Relationship Type="http://schemas.openxmlformats.org/officeDocument/2006/relationships/hyperlink" Id="rId42" Target="https://schema.org/worksFor" TargetMode="External" /><Relationship Type="http://schemas.openxmlformats.org/officeDocument/2006/relationships/hyperlink" Id="rId28" Target="https://support.google.com/business/answer/3038177" TargetMode="External" /><Relationship Type="http://schemas.openxmlformats.org/officeDocument/2006/relationships/hyperlink" Id="rId38" Target="https://support.google.com/business/answer/72496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evelopers.google.com/search/docs/appearance/structured-data/local-business" TargetMode="External" /><Relationship Type="http://schemas.openxmlformats.org/officeDocument/2006/relationships/hyperlink" Id="rId20" Target="https://developers.google.com/search/docs/fundamentals/ai-optimization-guide" TargetMode="External" /><Relationship Type="http://schemas.openxmlformats.org/officeDocument/2006/relationships/hyperlink" Id="rId22" Target="https://kosgroup.com/it/chi-siamo/governance/dati-societari" TargetMode="External" /><Relationship Type="http://schemas.openxmlformats.org/officeDocument/2006/relationships/hyperlink" Id="rId40" Target="https://schema.org/IndividualPhysician" TargetMode="External" /><Relationship Type="http://schemas.openxmlformats.org/officeDocument/2006/relationships/hyperlink" Id="rId41" Target="https://schema.org/practicesAt" TargetMode="External" /><Relationship Type="http://schemas.openxmlformats.org/officeDocument/2006/relationships/hyperlink" Id="rId42" Target="https://schema.org/worksFor" TargetMode="External" /><Relationship Type="http://schemas.openxmlformats.org/officeDocument/2006/relationships/hyperlink" Id="rId28" Target="https://support.google.com/business/answer/3038177" TargetMode="External" /><Relationship Type="http://schemas.openxmlformats.org/officeDocument/2006/relationships/hyperlink" Id="rId38" Target="https://support.google.com/business/answer/72496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2026-10-29T20:15:51Z</dcterms:created>
  <dcterms:modified xsi:type="dcterms:W3CDTF">2026-10-29T20:15:51Z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