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9C3B2E"/>
          <w:spacing w:val="50"/>
          <w:sz w:val="18"/>
          <w:szCs w:val="18"/>
        </w:rPr>
        <w:t xml:space="preserve">GRUPPO KOS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F5C6E"/>
          <w:sz w:val="40"/>
          <w:szCs w:val="40"/>
        </w:rPr>
        <w:t xml:space="preserve">Convenzione degli identificativi del dato strutturato</w:t>
      </w:r>
    </w:p>
    <w:p>
      <w:pPr>
        <w:spacing w:after="60"/>
      </w:pPr>
      <w:r>
        <w:rPr>
          <w:rFonts w:ascii="Arial" w:cs="Arial" w:eastAsia="Arial" w:hAnsi="Arial"/>
          <w:color w:val="20262B"/>
          <w:sz w:val="24"/>
          <w:szCs w:val="24"/>
        </w:rPr>
        <w:t xml:space="preserve">Linee A e B · Ottimizzazione SEO/GEO di kosgroup.com e anniazzurri.it</w:t>
      </w:r>
    </w:p>
    <w:p>
      <w:pPr>
        <w:pBdr>
          <w:bottom w:val="single" w:color="B8C7CC" w:sz="6" w:space="8"/>
        </w:pBdr>
        <w:spacing w:after="240"/>
      </w:pPr>
      <w:r>
        <w:rPr>
          <w:rFonts w:ascii="Arial" w:cs="Arial" w:eastAsia="Arial" w:hAnsi="Arial"/>
          <w:color w:val="6B7278"/>
          <w:sz w:val="19"/>
          <w:szCs w:val="19"/>
        </w:rPr>
        <w:t xml:space="preserve">Danilo Bernabeo · 30 ottobre 2026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Ogni entità descritta nel dato strutturato di kosgroup.com e anniazzurri.it ha un identificativo (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@id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) formato dall'URL canonico della pagina che la descrive più un frammento fisso per tipo di entità. La convenzione vale per entrambi i siti ed è già applicata su anniazzurri.it dal 20 ottobre 2026.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Regole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Un'entità ha un solo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@id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e tutte le pagine che la citano usano quello invece di descriverla di nuovo.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Forma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: URL canonico della pagina che descrive l'entità + frammento fisso del tipo (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#organization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#localbusiness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...).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Generato dal codice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mai scritto a mano nei contenuti o nei chunk: una sola funzione per sito costruisce tutti gli identificativi.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Basato sugli indirizzi del sito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non sui codici di Yext o RetailTune: resta lo stesso quando cambia la piattaforma dei dati anagrafici.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Un solo </w:t>
      </w:r>
      <w:r>
        <w:rPr>
          <w:rFonts w:ascii="Consolas" w:cs="Consolas" w:eastAsia="Consolas" w:hAnsi="Consolas"/>
          <w:b/>
          <w:bCs/>
          <w:color w:val="1F5C6E"/>
          <w:sz w:val="19"/>
          <w:szCs w:val="19"/>
        </w:rPr>
        <w:t xml:space="preserve">@graph</w:t>
      </w: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 JSON-LD per pagina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emesso lato server, così i crawler che non eseguono JavaScript lo leggono intero.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Forma canonica dei domini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Gli identificativi usano sempre la forma del dominio verso cui puntano canonical, sitemap e redirect, verificata il 15 ottobre 2026.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1700"/>
        <w:gridCol w:w="2700"/>
        <w:gridCol w:w="5238"/>
      </w:tblGrid>
      <w:tr>
        <w:trPr>
          <w:cantSplit/>
          <w:tblHeader/>
        </w:trPr>
        <w:tc>
          <w:tcPr>
            <w:tcW w:type="dxa" w:w="17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Sito</w:t>
            </w:r>
          </w:p>
        </w:tc>
        <w:tc>
          <w:tcPr>
            <w:tcW w:type="dxa" w:w="27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52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Regola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anniazzurri.it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</w:t>
            </w:r>
          </w:p>
        </w:tc>
        <w:tc>
          <w:tcPr>
            <w:tcW w:type="dxa" w:w="5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senza www; slash finale solo sulla home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kosgroup.com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https://kosgroup.com</w:t>
            </w:r>
          </w:p>
        </w:tc>
        <w:tc>
          <w:tcPr>
            <w:tcW w:type="dxa" w:w="5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senza www; pagine sotto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/it</w:t>
            </w: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 (italiano)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/en</w:t>
            </w: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 (inglese); l'ente resta alla radice</w:t>
            </w:r>
          </w:p>
        </w:tc>
      </w:tr>
    </w:tbl>
    <w:p>
      <w:pPr>
        <w:spacing w:after="60"/>
      </w:pP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Identificativi</w:t>
      </w:r>
    </w:p>
    <w:tbl>
      <w:tblPr>
        <w:tblW w:type="dxa" w:w="9638"/>
        <w:tblBorders>
          <w:top w:val="single" w:color="B8C7CC" w:sz="4"/>
          <w:left w:val="single" w:color="B8C7CC" w:sz="4"/>
          <w:bottom w:val="single" w:color="B8C7CC" w:sz="4"/>
          <w:right w:val="single" w:color="B8C7CC" w:sz="4"/>
          <w:insideH w:val="single" w:color="B8C7CC" w:sz="4"/>
          <w:insideV w:val="single" w:color="B8C7CC" w:sz="4"/>
        </w:tblBorders>
      </w:tblPr>
      <w:tblGrid>
        <w:gridCol w:w="1800"/>
        <w:gridCol w:w="2050"/>
        <w:gridCol w:w="2238"/>
        <w:gridCol w:w="3550"/>
      </w:tblGrid>
      <w:tr>
        <w:trPr>
          <w:cantSplit/>
          <w:tblHeader/>
        </w:trPr>
        <w:tc>
          <w:tcPr>
            <w:tcW w:type="dxa" w:w="180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Entità</w:t>
            </w:r>
          </w:p>
        </w:tc>
        <w:tc>
          <w:tcPr>
            <w:tcW w:type="dxa" w:w="205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 schema.org</w:t>
            </w:r>
          </w:p>
        </w:tc>
        <w:tc>
          <w:tcPr>
            <w:tcW w:type="dxa" w:w="2238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@id</w:t>
            </w:r>
          </w:p>
        </w:tc>
        <w:tc>
          <w:tcPr>
            <w:tcW w:type="dxa" w:w="3550"/>
            <w:shd w:fill="1F5C6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Esempio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Ente anniazzurri.it (KOS Care S.r.l.)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Organization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{base}/#organization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https://anniazzurri.it/#organization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Ente kosgroup.com (KOS S.p.A.)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Organization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{base}/#organization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https://kosgroup.com/#organization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Sito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WebSite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{base}/#website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https://anniazzurri.it/#website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Pagina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WebPage</w:t>
            </w: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 e sottotipi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{URL}#webpage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https://anniazzurri.it/rsa-in-lombardia#webpage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Briciole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BreadcrumbList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{URL}#breadcrumb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https://anniazzurri.it/residenza-anni-azzurri-vico-mercati#breadcrumb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Struttura o residenza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LocalBusiness</w:t>
            </w: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 e sottotipi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 scheda}#localbusiness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https://anniazzurri.it/residenza-anni-azzurri-navigli#localbusiness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Medico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IndividualPhysician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 scheda}#medico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https://kosgroup.com/it/chi-siamo/qualita-delle-cure/medici/nome-cognome#medico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Altro professionista sanitario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Person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 scheda}#person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https://kosgroup.com/it/chi-siamo/qualita-delle-cure/medici/nome-cognome#person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Articolo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Article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{URL}#article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https://anniazzurri.it/come-vivono-gli-anziani-in-rsa#article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Autore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Person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 pagina autore}#person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https://anniazzurri.it/autori/nome-cognome#person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Servizio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Service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{URL}#service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https://anniazzurri.it/sportello-sociale-orientamento-per-assistenza-anziani#service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Patologia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MedicalCondition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{URL}#condition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pagina della patologia su kosgroup.com + #condition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0262B"/>
                <w:sz w:val="19"/>
                <w:szCs w:val="19"/>
              </w:rPr>
              <w:t xml:space="preserve">Dispositivo o tecnologia</w:t>
            </w:r>
          </w:p>
        </w:tc>
        <w:tc>
          <w:tcPr>
            <w:tcW w:type="dxa" w:w="2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MedicalDevice</w:t>
            </w:r>
          </w:p>
        </w:tc>
        <w:tc>
          <w:tcPr>
            <w:tcW w:type="dxa" w:w="223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5C6E"/>
                <w:sz w:val="17"/>
                <w:szCs w:val="17"/>
              </w:rPr>
              <w:t xml:space="preserve">{URL}#device</w:t>
            </w:r>
          </w:p>
        </w:tc>
        <w:tc>
          <w:tcPr>
            <w:tcW w:type="dxa" w:w="35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0262B"/>
                <w:sz w:val="19"/>
                <w:szCs w:val="19"/>
              </w:rPr>
              <w:t xml:space="preserve">pagina della tecnologia su kosgroup.com + #device</w:t>
            </w:r>
          </w:p>
        </w:tc>
      </w:tr>
    </w:tbl>
    <w:p>
      <w:pPr>
        <w:spacing w:after="6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Le strutture usano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#localbusiness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come indicato nelle slide 29-30 dell'audit Anni Azzurri. Il nodo struttura si emette solo se la pagina ha l'indirizzo. Tipi (deciso il 29 ottobre 2026):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Residenze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["MedicalBusiness", "MedicalOrganization"]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medicalSpecialty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Geriatric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 Schema.org non ha un tipo per le case di riposo (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NursingHome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non esiste, verificato su schema.org 30.1):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MedicalBusiness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è un sottotipo di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LocalBusiness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come chiede l'audit Anni Azzurri (slide 30) e come richiede Google (il sottotipo più specifico), mentre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MedicalOrganization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porta la specialità. Il tipo dipende dall'autorizzazione della struttura, non dall'accreditamento: tutte le residenze Anni Azzurri sono autorizzate come unità socio-sanitarie (RSA, Casa Residenza Anziani, Residenza Protetta), come risulta dalle carte dei servizi;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LocalBusiness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resta solo per le unità socio-assistenziali pure (alloggi protetti, casa di riposo).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Cliniche, centri e ambulatori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: il sottotipo sanitario più specifico (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MedicalClinic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Hospital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...); un tipo che non è un'attività locale (es.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DiagnosticLab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) si affianca a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MedicalBusiness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Servizi senza sede propria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(RSA Aperta, assistenza domiciliare):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Service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provider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verso il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#localbusiness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della struttura che li eroga.</w:t>
      </w:r>
    </w:p>
    <w:p>
      <w:pPr>
        <w:pStyle w:val="ListParagraph"/>
        <w:numPr>
          <w:ilvl w:val="0"/>
          <w:numId w:val="2"/>
        </w:numPr>
        <w:spacing w:after="70" w:line="290"/>
        <w:jc w:val="both"/>
      </w:pPr>
      <w:r>
        <w:rPr>
          <w:rFonts w:ascii="Arial" w:cs="Arial" w:eastAsia="Arial" w:hAnsi="Arial"/>
          <w:b/>
          <w:bCs/>
          <w:color w:val="20262B"/>
          <w:sz w:val="21"/>
          <w:szCs w:val="21"/>
        </w:rPr>
        <w:t xml:space="preserve">Medici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IndividualPhysician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(sottotipo di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Physician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il tipo dell'esempio dell'audit KosGroup, slide 27) con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practicesAt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verso il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#localbusiness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della struttura; gli altri professionisti sanitari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Person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jobTitle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Relazioni</w:t>
      </w:r>
    </w:p>
    <w:p>
      <w:pPr>
        <w:spacing w:after="120"/>
        <w:jc w:val="center"/>
      </w:pPr>
      <w:r>
        <w:drawing>
          <wp:inline distT="0" distB="0" distL="0" distR="0">
            <wp:extent cx="5715000" cy="474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Ogni freccia è un richiamo per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@id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: l'entità richiamata è descritta una sola volta e le altre pagine la citano senza ripeterla. Tra KOS Care e KOS S.p.A. il legame è solo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parentOrganization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mai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sameAs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, perché sono soggetti giuridici diversi.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Pagine in più lingue (kosgroup.com)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Un'entità è una sola in tutte le lingue: il suo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@id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si ancora sempre alla pagina italiana (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/it/...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), e la pagina inglese equivalente richiama lo stesso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@id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. La lingua è una proprietà della pagina (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inLanguage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), non dell'entità.</w:t>
      </w:r>
    </w:p>
    <w:p>
      <w:pPr>
        <w:keepNext/>
        <w:pBdr>
          <w:bottom w:val="single" w:color="B8C7CC" w:sz="6" w:space="4"/>
        </w:pBdr>
        <w:spacing w:after="140" w:before="300"/>
      </w:pPr>
      <w:r>
        <w:rPr>
          <w:rFonts w:ascii="Arial" w:cs="Arial" w:eastAsia="Arial" w:hAnsi="Arial"/>
          <w:b/>
          <w:bCs/>
          <w:color w:val="1F5C6E"/>
          <w:sz w:val="28"/>
          <w:szCs w:val="28"/>
        </w:rPr>
        <w:t xml:space="preserve">Esempio in produzione</w:t>
      </w: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Il </w:t>
      </w:r>
      <w:r>
        <w:rPr>
          <w:rFonts w:ascii="Consolas" w:cs="Consolas" w:eastAsia="Consolas" w:hAnsi="Consolas"/>
          <w:color w:val="1F5C6E"/>
          <w:sz w:val="19"/>
          <w:szCs w:val="19"/>
        </w:rPr>
        <w:t xml:space="preserve">@graph</w:t>
      </w:r>
      <w:r>
        <w:rPr>
          <w:rFonts w:ascii="Arial" w:cs="Arial" w:eastAsia="Arial" w:hAnsi="Arial"/>
          <w:color w:val="20262B"/>
          <w:sz w:val="21"/>
          <w:szCs w:val="21"/>
        </w:rPr>
        <w:t xml:space="preserve"> di </w:t>
      </w:r>
      <w:hyperlink w:history="1" r:id="rIdzczhpop4gmtk198be5amc">
        <w:r>
          <w:rPr>
            <w:rFonts w:ascii="Arial" w:cs="Arial" w:eastAsia="Arial" w:hAnsi="Arial"/>
            <w:color w:val="1F5C6E"/>
            <w:sz w:val="21"/>
            <w:szCs w:val="21"/>
            <w:u w:val="single"/>
          </w:rPr>
          <w:t xml:space="preserve">Residenza Anni Azzurri Vico Mercati</w:t>
        </w:r>
      </w:hyperlink>
      <w:r>
        <w:rPr>
          <w:rFonts w:ascii="Arial" w:cs="Arial" w:eastAsia="Arial" w:hAnsi="Arial"/>
          <w:color w:val="20262B"/>
          <w:sz w:val="21"/>
          <w:szCs w:val="21"/>
        </w:rPr>
        <w:t xml:space="preserve">, validato con validator.schema.org (0 errori) e Rich Results Test (Breadcrumb e Organization validi). Le briciole corrispondono a quelle visibili e all'esempio della slide 35 dell'audit.</w:t>
      </w:r>
    </w:p>
    <w:p>
      <w:pPr>
        <w:pBdr>
          <w:top w:val="single" w:color="B8C7CC" w:sz="4" w:space="4"/>
        </w:pBd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{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"@context": "https://schema.org",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"@graph": [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{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"@type": "WebPage",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"@id": "https://anniazzurri.it/residenza-anni-azzurri-vico-mercati#webpage",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"url": "https://anniazzurri.it/residenza-anni-azzurri-vico-mercati",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"isPartOf": { "@id": "https://anniazzurri.it/#website"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"breadcrumb": { "@id": "https://anniazzurri.it/residenza-anni-azzurri-vico-mercati#breadcrumb" }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{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"@type": "BreadcrumbList",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"@id": "https://anniazzurri.it/residenza-anni-azzurri-vico-mercati#breadcrumb",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"itemListElement": [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{ "@type": "ListItem", "position": 1, "name": "Anni Azzurri", "item": "https://anniazzurri.it/"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{ "@type": "ListItem", "position": 2, "name": "Le RSA in Lombardia", "item": "https://anniazzurri.it/rsa-in-lombardia"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{ "@type": "ListItem", "position": 3, "name": "RSA in provincia di Monza e Brianza", "item": "https://anniazzurri.it/rsa-in-provincia-di-monza-e-brianza"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{ "@type": "ListItem", "position": 4, "name": "Residenza Anni Azzurri Vico Mercati", "item": "https://anniazzurri.it/residenza-anni-azzurri-vico-mercati" }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]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{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"@type": "WebSite",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"@id": "https://anniazzurri.it/#website",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"publisher": { "@id": "https://anniazzurri.it/#organization" }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},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{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"@type": "Organization",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"@id": "https://anniazzurri.it/#organization",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"name": "Anni Azzurri",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"legalName": "KOS Care S.r.l.",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"vatID": "IT01148190547",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"parentOrganization": {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"@id": "https://kosgroup.com/#organization",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"@type": "Organization",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"legalName": "KOS S.p.A.",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  "vatID": "IT10674520159"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  }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  }</w:t>
      </w:r>
    </w:p>
    <w:p>
      <w:pP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  ]</w:t>
      </w:r>
    </w:p>
    <w:p>
      <w:pPr>
        <w:pBdr>
          <w:bottom w:val="single" w:color="B8C7CC" w:sz="4" w:space="4"/>
        </w:pBdr>
        <w:shd w:fill="F3F6F7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20262B"/>
          <w:sz w:val="14"/>
          <w:szCs w:val="14"/>
        </w:rPr>
        <w:t xml:space="preserve">}</w:t>
      </w:r>
    </w:p>
    <w:p>
      <w:pPr>
        <w:spacing w:after="120"/>
      </w:pPr>
    </w:p>
    <w:p>
      <w:pPr>
        <w:spacing w:after="120" w:before="0" w:line="290"/>
        <w:jc w:val="both"/>
      </w:pPr>
      <w:r>
        <w:rPr>
          <w:rFonts w:ascii="Arial" w:cs="Arial" w:eastAsia="Arial" w:hAnsi="Arial"/>
          <w:color w:val="20262B"/>
          <w:sz w:val="21"/>
          <w:szCs w:val="21"/>
        </w:rPr>
        <w:t xml:space="preserve">Nell'esempio alcune proprietà (descrizione, logo, indirizzo, social) sono omesse per brevità.</w:t>
      </w:r>
    </w:p>
    <w:sectPr>
      <w:headerReference w:type="default" r:id="rId7"/>
      <w:footerReference w:type="default" r:id="rId8"/>
      <w:pgSz w:w="11906" w:h="16838" w:orient="portrait"/>
      <w:pgMar w:top="1300" w:right="1134" w:bottom="1134" w:left="1134" w:header="56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6B7278"/>
        <w:sz w:val="15"/>
        <w:szCs w:val="15"/>
      </w:rPr>
      <w:t xml:space="preserve">Documento riservato - destinato a Gruppo KOS e Cerved/ProWeb.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6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czhpop4gmtk198be5amc" Type="http://schemas.openxmlformats.org/officeDocument/2006/relationships/hyperlink" Target="https://anniazzurri.it/residenza-anni-azzurri-vico-mercati" TargetMode="External"/><Relationship Id="rId9" Type="http://schemas.openxmlformats.org/officeDocument/2006/relationships/image" Target="media/93be2f49be37d0e2e49f300b1b96e3c3f4bb0a9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Convenzione degli identificativi del dato strutturato</dc:title>
  <dc:creator>Danilo Bernabeo</dc:creator>
  <cp:lastModifiedBy>Un-named</cp:lastModifiedBy>
  <cp:revision>1</cp:revision>
  <dcterms:created xsi:type="dcterms:W3CDTF">2026-10-29T17:21:24.735Z</dcterms:created>
  <dcterms:modified xsi:type="dcterms:W3CDTF">2026-10-29T17:21:24.736Z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