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9C3B2E"/>
          <w:spacing w:val="50"/>
          <w:sz w:val="18"/>
          <w:szCs w:val="18"/>
        </w:rPr>
        <w:t xml:space="preserve">GRUPPO KOS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F5C6E"/>
          <w:sz w:val="40"/>
          <w:szCs w:val="40"/>
        </w:rPr>
        <w:t xml:space="preserve">Schede Google: nomi, siti e categorie nel passaggio a RetailTune</w:t>
      </w:r>
    </w:p>
    <w:p>
      <w:pPr>
        <w:spacing w:after="60"/>
      </w:pPr>
      <w:r>
        <w:rPr>
          <w:rFonts w:ascii="Arial" w:cs="Arial" w:eastAsia="Arial" w:hAnsi="Arial"/>
          <w:color w:val="20262B"/>
          <w:sz w:val="24"/>
          <w:szCs w:val="24"/>
        </w:rPr>
        <w:t xml:space="preserve">Linea C · Migrazione da Yext a RetailTune</w:t>
      </w:r>
    </w:p>
    <w:p>
      <w:pPr>
        <w:pBdr>
          <w:bottom w:val="single" w:color="B8C7CC" w:sz="6" w:space="8"/>
        </w:pBdr>
        <w:spacing w:after="240"/>
      </w:pPr>
      <w:r>
        <w:rPr>
          <w:rFonts w:ascii="Arial" w:cs="Arial" w:eastAsia="Arial" w:hAnsi="Arial"/>
          <w:color w:val="6B7278"/>
          <w:sz w:val="19"/>
          <w:szCs w:val="19"/>
        </w:rPr>
        <w:t xml:space="preserve">Danilo Bernabeo · 2 novembre 2026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Con la migrazione da Yext a RetailTune, nomi, siti e categorie delle 138 schede Google di KOS e Anni Azzurri passano a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un nuovo strumento, che da quel momento li sincronizza. Questo documento fissa le regole per quei tre dati prima che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RetailTune inizi a scriverli. Tiene conto del documento «Local Ottimizzazioni e Linee Guida» del 27 ottobre.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1. Il passaggio non cambia niente; i cambiamenti vengono dopo, uno alla volta</w:t>
      </w:r>
    </w:p>
    <w:tbl>
      <w:tblPr>
        <w:tblW w:type="dxa" w:w="9638"/>
        <w:tblBorders>
          <w:top w:val="single" w:color="B8C7CC" w:sz="4"/>
          <w:left w:val="single" w:color="B8C7CC" w:sz="4"/>
          <w:bottom w:val="single" w:color="B8C7CC" w:sz="4"/>
          <w:right w:val="single" w:color="B8C7CC" w:sz="4"/>
          <w:insideH w:val="single" w:color="B8C7CC" w:sz="4"/>
          <w:insideV w:val="single" w:color="B8C7CC" w:sz="4"/>
        </w:tblBorders>
      </w:tblPr>
      <w:tblGrid>
        <w:gridCol w:w="2000"/>
        <w:gridCol w:w="4238"/>
        <w:gridCol w:w="3400"/>
      </w:tblGrid>
      <w:tr>
        <w:trPr>
          <w:cantSplit/>
          <w:tblHeader/>
        </w:trPr>
        <w:tc>
          <w:tcPr>
            <w:tcW w:type="dxa" w:w="20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4238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34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Cosa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Prima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Fino al passaggio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Correzione degli errori che oggi portano le persone nel posto sbagliato (siti che reindirizzano altrove, schede di strutture chiuse), con Yext, che alimenta le schede fino al passaggio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Passaggio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Giornata del cambio e due settimane successive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I dati passano senza modifiche: nomi, codici negozio, categorie e siti restano come sono. Nessuna modifica alle schede in quelle due settimane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Dopo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 passi distanziati di una o due settimane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Prima i siti con i parametri UTM, poi le categorie delle residenze, poi quelle delle strutture KOS</w:t>
            </w:r>
          </w:p>
        </w:tc>
      </w:tr>
    </w:tbl>
    <w:p>
      <w:pPr>
        <w:spacing w:after="60"/>
      </w:pP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Il motivo dei passi: ogni modifica passa una revisione di Google e una nuova categoria può richiedere una nuova verifica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dell'attività. Cambiando una cosa per volta si limitano le verifiche e ogni effetto si attribuisce a un solo cambiamento.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posizioni nelle ricerche sono misurate prima e dopo ogni passo.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2. Nomi delle schede: restano quelli attuali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Il nome della scheda è il nome reale della struttura, lo stesso che compare sull'insegna, nella pagina del sito e nel dato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strutturato. Non si aggiungono parole chiave come «RSA», la città o i servizi.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Perché: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Le regole di Google lo vietano.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Le </w:t>
      </w:r>
      <w:hyperlink w:history="1" r:id="rIdnen-qbpuvv9xkv0a1ddm0">
        <w:r>
          <w:rPr>
            <w:rFonts w:ascii="Arial" w:cs="Arial" w:eastAsia="Arial" w:hAnsi="Arial"/>
            <w:color w:val="1F5C6E"/>
            <w:sz w:val="21"/>
            <w:szCs w:val="21"/>
            <w:u w:val="single"/>
          </w:rPr>
          <w:t xml:space="preserve">linee guida per la rappresentazione</w:t>
        </w:r>
      </w:hyperlink>
    </w:p>
    <w:p>
      <w:pPr>
        <w:spacing w:after="120" w:before="18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  chiedono il nome usato nel mondo reale ed escludono esplicitamente parole chiave, località e servizi aggiunti.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Il rischio è su tutta la catena.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Le schede di un gruppo con nomi modificati possono essere sospese insieme. Su 60</w:t>
      </w:r>
    </w:p>
    <w:p>
      <w:pPr>
        <w:spacing w:after="120" w:before="18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  residenze il danno sarebbe molto più grande di qualsiasi guadagno di posizione.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Coerenza tra le fonti.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Google confronta il nome della scheda con quello del sito e delle directory. Un nome uguale</w:t>
      </w:r>
    </w:p>
    <w:p>
      <w:pPr>
        <w:spacing w:after="120" w:before="18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  dappertutto rafforza l'identità della struttura; un nome diverso la indebolisce.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«RSA» ha un significato preciso.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Indica un'autorizzazione e un regime di accreditamento che va verificato struttura</w:t>
      </w:r>
    </w:p>
    <w:p>
      <w:pPr>
        <w:spacing w:after="120" w:before="18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  per struttura.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parole chiave hanno altri posti, consentiti e utili: la categoria (sezione 4), i servizi della scheda, la descrizione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informativa e il titolo della pagina del sito.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3. Sito della scheda: l'URL canonico, con parametri UTM aggiunti solo verso Google</w:t>
      </w:r>
    </w:p>
    <w:tbl>
      <w:tblPr>
        <w:tblW w:type="dxa" w:w="9638"/>
        <w:tblBorders>
          <w:top w:val="single" w:color="B8C7CC" w:sz="4"/>
          <w:left w:val="single" w:color="B8C7CC" w:sz="4"/>
          <w:bottom w:val="single" w:color="B8C7CC" w:sz="4"/>
          <w:right w:val="single" w:color="B8C7CC" w:sz="4"/>
          <w:insideH w:val="single" w:color="B8C7CC" w:sz="4"/>
          <w:insideV w:val="single" w:color="B8C7CC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438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Regola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Sito nell'archivio RetailTune</w:t>
            </w:r>
          </w:p>
        </w:tc>
        <w:tc>
          <w:tcPr>
            <w:tcW w:type="dxa" w:w="74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L'URL canonico della pagina della struttura su kosgroup.com o anniazzurri.it, che risponde senza reindirizzamenti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Sito pubblicato nella scheda</w:t>
            </w:r>
          </w:p>
        </w:tc>
        <w:tc>
          <w:tcPr>
            <w:tcW w:type="dxa" w:w="74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Lo stesso URL con i parametri aggiunti da RetailTune nella sincronizzazione: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?utm_source=google&amp;utm_medium=organic&amp;utm_campaign=gbp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Link per appuntamenti e prenotazioni</w:t>
            </w:r>
          </w:p>
        </w:tc>
        <w:tc>
          <w:tcPr>
            <w:tcW w:type="dxa" w:w="74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La pagina di prenotazione della struttura, senza reindirizzamenti né parametri di sessione</w:t>
            </w:r>
          </w:p>
        </w:tc>
      </w:tr>
    </w:tbl>
    <w:p>
      <w:pPr>
        <w:spacing w:after="60"/>
      </w:pP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Con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utm_medium=organic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le visite dalle schede restano nel canale «Organic Search» di Google Analytics e si distinguono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dalla campagna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gbp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. Tenendo i parametri fuori dall'archivio, le pagine del sito e il dato strutturato restano sull'URL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pulito.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Da confermare: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i valori dei parametri, se KOS o l'agenzia usano già una convenzione diversa.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4. Categorie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regole sono tre: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la categoria principale descrive la struttura, non i professionisti che ci lavorano;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categorie aggiuntive corrispondono a servizi o reparti che esistono davvero;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strutture di una catena che offrono lo stesso servizio hanno la stessa categoria principale.</w:t>
      </w:r>
    </w:p>
    <w:p>
      <w:pPr>
        <w:spacing w:after="120" w:before="18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categorie si indicano per codice, non per nome: in italiano alcuni nomi compaiono due volte e indicano categorie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diverse (per esempio «Casa di riposo»). I codici li conferma RetailTune prima del passaggio. RetailTune mantiene le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categorie principali attuali e non ne cambia nessuna senza accordo scritto.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### Residenze Anni Azzurri (57 residenze aperte)</w:t>
      </w:r>
    </w:p>
    <w:tbl>
      <w:tblPr>
        <w:tblW w:type="dxa" w:w="9638"/>
        <w:tblBorders>
          <w:top w:val="single" w:color="B8C7CC" w:sz="4"/>
          <w:left w:val="single" w:color="B8C7CC" w:sz="4"/>
          <w:bottom w:val="single" w:color="B8C7CC" w:sz="4"/>
          <w:right w:val="single" w:color="B8C7CC" w:sz="4"/>
          <w:insideH w:val="single" w:color="B8C7CC" w:sz="4"/>
          <w:insideV w:val="single" w:color="B8C7CC" w:sz="4"/>
        </w:tblBorders>
      </w:tblPr>
      <w:tblGrid>
        <w:gridCol w:w="2000"/>
        <w:gridCol w:w="4238"/>
        <w:gridCol w:w="3400"/>
      </w:tblGrid>
      <w:tr>
        <w:trPr>
          <w:cantSplit/>
          <w:tblHeader/>
        </w:trPr>
        <w:tc>
          <w:tcPr>
            <w:tcW w:type="dxa" w:w="20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4238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Ruolo</w:t>
            </w:r>
          </w:p>
        </w:tc>
        <w:tc>
          <w:tcPr>
            <w:tcW w:type="dxa" w:w="34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Dove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Casa di riposo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Principale (oggi «Casa di cura»)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Tutte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Casa di cura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Tutte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Assistenza agli anziani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Tutte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Centro diurno per adulti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Solo con centro diurno integrato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Centro di riabilitazione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Solo con unità di riabilitazione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Casa di cura per lungodegenti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Solo con cure intermedie o post-acuzie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Servizio di assistenza domiciliare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Aggiuntiva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Solo dove la residenza eroga RSA Aperta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Geriatra, Servizio di salute mentale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Da togliere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Oggi su 51 e 42 residenze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Centro anziani</w:t>
            </w:r>
          </w:p>
        </w:tc>
        <w:tc>
          <w:tcPr>
            <w:tcW w:type="dxa" w:w="4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Da togliere, se il codice indica un centro sociale per anziani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Oggi su 54 residenze</w:t>
            </w:r>
          </w:p>
        </w:tc>
      </w:tr>
    </w:tbl>
    <w:p>
      <w:pPr>
        <w:spacing w:after="60"/>
      </w:pP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Motivazioni: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I concorrenti diretti (Korian, Sereni Orizzonti, Gruppo La Villa, Gheron) usano «Casa di riposo» come principale. Nelle</w:t>
      </w:r>
    </w:p>
    <w:p>
      <w:pPr>
        <w:spacing w:after="120" w:before="18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  ricerche «RSA Milano» e «casa di riposo Torino», 19 risultati su 20 hanno questa categoria.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«Geriatra» è la categoria di un singolo medico: su una residenza porta Google a classificarla come studio medico.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Il selettore italiano non ha categorie per Alzheimer, demenza, residenza assistita o hospice. Se esistono nel catalogo</w:t>
      </w:r>
    </w:p>
    <w:p>
      <w:pPr>
        <w:spacing w:after="120" w:before="18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  globale con un codice diverso, RetailTune lo verifica.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### Strutture KOS</w:t>
      </w:r>
    </w:p>
    <w:tbl>
      <w:tblPr>
        <w:tblW w:type="dxa" w:w="9638"/>
        <w:tblBorders>
          <w:top w:val="single" w:color="B8C7CC" w:sz="4"/>
          <w:left w:val="single" w:color="B8C7CC" w:sz="4"/>
          <w:bottom w:val="single" w:color="B8C7CC" w:sz="4"/>
          <w:right w:val="single" w:color="B8C7CC" w:sz="4"/>
          <w:insideH w:val="single" w:color="B8C7CC" w:sz="4"/>
          <w:insideV w:val="single" w:color="B8C7CC" w:sz="4"/>
        </w:tblBorders>
      </w:tblPr>
      <w:tblGrid>
        <w:gridCol w:w="1700"/>
        <w:gridCol w:w="2400"/>
        <w:gridCol w:w="2938"/>
        <w:gridCol w:w="2600"/>
      </w:tblGrid>
      <w:tr>
        <w:trPr>
          <w:cantSplit/>
          <w:tblHeader/>
        </w:trPr>
        <w:tc>
          <w:tcPr>
            <w:tcW w:type="dxa" w:w="17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Gruppo</w:t>
            </w:r>
          </w:p>
        </w:tc>
        <w:tc>
          <w:tcPr>
            <w:tcW w:type="dxa" w:w="24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Principale proposta</w:t>
            </w:r>
          </w:p>
        </w:tc>
        <w:tc>
          <w:tcPr>
            <w:tcW w:type="dxa" w:w="2938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Aggiuntive</w:t>
            </w:r>
          </w:p>
        </w:tc>
        <w:tc>
          <w:tcPr>
            <w:tcW w:type="dxa" w:w="26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 togliere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Centri e ospedali di riabilitazione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Centro di riabilitazione; «Ospedale» o «Ospedale specializzato» dove la struttura è un ospedale (Villa Pineta, Villa dei Pini Civitanova, Venerabile Marcucci)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di fisioterapia, se c'è un ambulatorio; Clinica per la salute mentale, se c'è un reparto psichiatrico; Centro diagnostico, se aperto al pubblico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Fisiatra, Fisioterapista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Centri ambulatoriali Santo Stefano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Centro di riabilitazione (oggi «Centro medico» su 10 schede)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di fisioterapia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Pediatra, Psicologo, Logopedista, Audiologo, Centro anziani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Cliniche psichiatriche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per la salute mentale (già su 7 schede su 9)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Nessuna, salvo servizi aperti al pubblico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Psichiatra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Comunità terapeutiche psichiatriche e per minori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Servizio di salute mentale (oggi «Psichiatra» su 10 schede)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Nessuna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Psichiatra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Poliambulatori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Centro medico (oggi su 2; altre principali: Ospedale, Laboratorio medico, Clinica medica)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Centro diagnostico, Laboratorio medico, Clinica di fisioterapia, se il servizio c'è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Banca del sangue, Automazione e robotica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Punti prelievo e laboratori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Laboratorio medico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Servizio di analisi del sangue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Banca del sangue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Diagnostica per immagini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Centro di diagnostica per immagini o Centro diagnostico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Laboratorio di radiologia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Cliniche dentali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dentale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Dentista, Ortodontista, Endodontista solo se la specialità è erogata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Medicina dello sport (Myolab, Fidia)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di medicina dello sport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Clinica di fisioterapia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Sala biliardi, Pediatra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Hospice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Da decidere per codice con RetailTune: in italiano non c'è una categoria per l'hospice come struttura</w:t>
            </w:r>
          </w:p>
        </w:tc>
        <w:tc>
          <w:tcPr>
            <w:tcW w:type="dxa" w:w="29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Casa di riposo, Ospedale come principale</w:t>
            </w:r>
          </w:p>
        </w:tc>
      </w:tr>
    </w:tbl>
    <w:p>
      <w:pPr>
        <w:spacing w:after="60"/>
      </w:pP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categorie per professionista come «Psichiatra», «Pediatra» e «Fisiatra» descrivono un singolo medico. Sulla scheda di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una struttura fanno classificare l'intera sede come studio medico, e la allontanano dalle ricerche per tipo di struttura.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5. Cosa chiediamo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A KOS: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conferma delle regole delle sezioni 2 e 3, e dei valori UTM.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All'agenzia: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un riscontro sulle categorie della sezione 4 entro la call del 4 novembre, in particolare sui centri</w:t>
      </w:r>
    </w:p>
    <w:p>
      <w:pPr>
        <w:spacing w:after="120" w:before="18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  ambulatoriali e sulle comunità terapeutiche, dove la proposta cambia la categoria principale.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A RetailTune: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i codici di tutte le categorie indicate, prima dell'import.</w:t>
      </w:r>
    </w:p>
    <w:sectPr>
      <w:headerReference w:type="default" r:id="rId7"/>
      <w:footerReference w:type="default" r:id="rId8"/>
      <w:pgSz w:w="11906" w:h="16838" w:orient="portrait"/>
      <w:pgMar w:top="1300" w:right="1134" w:bottom="1134" w:left="1134" w:header="56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6B7278"/>
        <w:sz w:val="15"/>
        <w:szCs w:val="15"/>
      </w:rPr>
      <w:t xml:space="preserve">Documento riservato - destinato a Gruppo KOS e Cerved/ProWeb.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6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en-qbpuvv9xkv0a1ddm0" Type="http://schemas.openxmlformats.org/officeDocument/2006/relationships/hyperlink" Target="https://support.google.com/business/answer/303817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Schede Google: nomi, siti e categorie nel passaggio a RetailTune</dc:title>
  <dc:creator>Danilo Bernabeo</dc:creator>
  <cp:lastModifiedBy>Un-named</cp:lastModifiedBy>
  <cp:revision>1</cp:revision>
  <dcterms:created xsi:type="dcterms:W3CDTF">2026-10-31T07:12:57.773Z</dcterms:created>
  <dcterms:modified xsi:type="dcterms:W3CDTF">2026-10-31T07:12:57.773Z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