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rFonts w:ascii="Arial" w:cs="Arial" w:eastAsia="Arial" w:hAnsi="Arial"/>
          <w:b/>
          <w:bCs/>
          <w:color w:val="9C3B2E"/>
          <w:spacing w:val="50"/>
          <w:sz w:val="18"/>
          <w:szCs w:val="18"/>
        </w:rPr>
        <w:t xml:space="preserve">GRUPPO KOS</w:t>
      </w:r>
    </w:p>
    <w:p>
      <w:pPr>
        <w:spacing w:after="60"/>
      </w:pPr>
      <w:r>
        <w:rPr>
          <w:rFonts w:ascii="Arial" w:cs="Arial" w:eastAsia="Arial" w:hAnsi="Arial"/>
          <w:b/>
          <w:bCs/>
          <w:color w:val="1F5C6E"/>
          <w:sz w:val="40"/>
          <w:szCs w:val="40"/>
        </w:rPr>
        <w:t xml:space="preserve">Schede Google: nomi, siti e categorie nel passaggio a RetailTune</w:t>
      </w:r>
    </w:p>
    <w:p>
      <w:pPr>
        <w:spacing w:after="60"/>
      </w:pPr>
      <w:r>
        <w:rPr>
          <w:rFonts w:ascii="Arial" w:cs="Arial" w:eastAsia="Arial" w:hAnsi="Arial"/>
          <w:color w:val="20262B"/>
          <w:sz w:val="24"/>
          <w:szCs w:val="24"/>
        </w:rPr>
        <w:t xml:space="preserve">Linea C · Migrazione da Yext a RetailTune</w:t>
      </w:r>
    </w:p>
    <w:p>
      <w:pPr>
        <w:pBdr>
          <w:bottom w:val="single" w:color="B8C7CC" w:sz="6" w:space="8"/>
        </w:pBdr>
        <w:spacing w:after="240"/>
      </w:pPr>
      <w:r>
        <w:rPr>
          <w:rFonts w:ascii="Arial" w:cs="Arial" w:eastAsia="Arial" w:hAnsi="Arial"/>
          <w:color w:val="6B7278"/>
          <w:sz w:val="19"/>
          <w:szCs w:val="19"/>
        </w:rPr>
        <w:t xml:space="preserve">Danilo Bernabeo · 2 novembre 2026</w:t>
      </w:r>
    </w:p>
    <w:p>
      <w:pPr>
        <w:spacing w:after="120" w:before="0" w:line="290"/>
        <w:jc w:val="both"/>
      </w:pPr>
      <w:r>
        <w:rPr>
          <w:rFonts w:ascii="Arial" w:cs="Arial" w:eastAsia="Arial" w:hAnsi="Arial"/>
          <w:color w:val="20262B"/>
          <w:sz w:val="21"/>
          <w:szCs w:val="21"/>
        </w:rPr>
        <w:t xml:space="preserve">Con la migrazione da Yext a RetailTune, nomi, siti e categorie delle 138 schede Google di KOS e Anni Azzurri passano a un nuovo strumento, che da quel momento li sincronizza. Questo documento fissa le regole per quei tre dati prima che RetailTune inizi a scriverli. Tiene conto del documento «Local Ottimizzazioni e Linee Guida» del 27 ottobre.</w:t>
      </w:r>
    </w:p>
    <w:p>
      <w:pPr>
        <w:keepNext/>
        <w:pBdr>
          <w:bottom w:val="single" w:color="B8C7CC" w:sz="6" w:space="4"/>
        </w:pBdr>
        <w:spacing w:after="140" w:before="300"/>
      </w:pPr>
      <w:r>
        <w:rPr>
          <w:rFonts w:ascii="Arial" w:cs="Arial" w:eastAsia="Arial" w:hAnsi="Arial"/>
          <w:b/>
          <w:bCs/>
          <w:color w:val="1F5C6E"/>
          <w:sz w:val="28"/>
          <w:szCs w:val="28"/>
        </w:rPr>
        <w:t xml:space="preserve">1. Il passaggio non cambia niente; i cambiamenti vengono dopo, uno alla volta</w:t>
      </w:r>
    </w:p>
    <w:tbl>
      <w:tblPr>
        <w:tblW w:type="dxa" w:w="9638"/>
        <w:tblBorders>
          <w:top w:val="single" w:color="B8C7CC" w:sz="4"/>
          <w:left w:val="single" w:color="B8C7CC" w:sz="4"/>
          <w:bottom w:val="single" w:color="B8C7CC" w:sz="4"/>
          <w:right w:val="single" w:color="B8C7CC" w:sz="4"/>
          <w:insideH w:val="single" w:color="B8C7CC" w:sz="4"/>
          <w:insideV w:val="single" w:color="B8C7CC" w:sz="4"/>
        </w:tblBorders>
      </w:tblPr>
      <w:tblGrid>
        <w:gridCol w:w="2000"/>
        <w:gridCol w:w="4238"/>
        <w:gridCol w:w="3400"/>
      </w:tblGrid>
      <w:tr>
        <w:trPr>
          <w:cantSplit/>
          <w:tblHeader/>
        </w:trPr>
        <w:tc>
          <w:tcPr>
            <w:tcW w:type="dxa" w:w="2000"/>
            <w:shd w:fill="1F5C6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Fase</w:t>
            </w:r>
          </w:p>
        </w:tc>
        <w:tc>
          <w:tcPr>
            <w:tcW w:type="dxa" w:w="4238"/>
            <w:shd w:fill="1F5C6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Quando</w:t>
            </w:r>
          </w:p>
        </w:tc>
        <w:tc>
          <w:tcPr>
            <w:tcW w:type="dxa" w:w="3400"/>
            <w:shd w:fill="1F5C6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Cosa</w:t>
            </w:r>
          </w:p>
        </w:tc>
      </w:tr>
      <w:tr>
        <w:trPr>
          <w:cantSplit/>
          <w:tblHeader w:val="false"/>
        </w:trPr>
        <w:tc>
          <w:tcPr>
            <w:tcW w:type="dxa" w:w="20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0262B"/>
                <w:sz w:val="19"/>
                <w:szCs w:val="19"/>
              </w:rPr>
              <w:t xml:space="preserve">Prima</w:t>
            </w:r>
          </w:p>
        </w:tc>
        <w:tc>
          <w:tcPr>
            <w:tcW w:type="dxa" w:w="4238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0262B"/>
                <w:sz w:val="19"/>
                <w:szCs w:val="19"/>
              </w:rPr>
              <w:t xml:space="preserve">Fino al passaggio</w:t>
            </w:r>
          </w:p>
        </w:tc>
        <w:tc>
          <w:tcPr>
            <w:tcW w:type="dxa" w:w="34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0262B"/>
                <w:sz w:val="19"/>
                <w:szCs w:val="19"/>
              </w:rPr>
              <w:t xml:space="preserve">Correzione degli errori che oggi portano le persone nel posto sbagliato (siti che reindirizzano altrove, schede di strutture chiuse), con Yext, che alimenta le schede fino al passaggio</w:t>
            </w:r>
          </w:p>
        </w:tc>
      </w:tr>
      <w:tr>
        <w:trPr>
          <w:cantSplit/>
          <w:tblHeader w:val="false"/>
        </w:trPr>
        <w:tc>
          <w:tcPr>
            <w:tcW w:type="dxa" w:w="20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0262B"/>
                <w:sz w:val="19"/>
                <w:szCs w:val="19"/>
              </w:rPr>
              <w:t xml:space="preserve">Passaggio</w:t>
            </w:r>
          </w:p>
        </w:tc>
        <w:tc>
          <w:tcPr>
            <w:tcW w:type="dxa" w:w="4238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0262B"/>
                <w:sz w:val="19"/>
                <w:szCs w:val="19"/>
              </w:rPr>
              <w:t xml:space="preserve">Giornata del cambio e due settimane successive</w:t>
            </w:r>
          </w:p>
        </w:tc>
        <w:tc>
          <w:tcPr>
            <w:tcW w:type="dxa" w:w="34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0262B"/>
                <w:sz w:val="19"/>
                <w:szCs w:val="19"/>
              </w:rPr>
              <w:t xml:space="preserve">I dati passano senza modifiche: nomi, codici negozio, categorie e siti restano come sono. Nessuna modifica alle schede in quelle due settimane</w:t>
            </w:r>
          </w:p>
        </w:tc>
      </w:tr>
      <w:tr>
        <w:trPr>
          <w:cantSplit/>
          <w:tblHeader w:val="false"/>
        </w:trPr>
        <w:tc>
          <w:tcPr>
            <w:tcW w:type="dxa" w:w="20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0262B"/>
                <w:sz w:val="19"/>
                <w:szCs w:val="19"/>
              </w:rPr>
              <w:t xml:space="preserve">Dopo</w:t>
            </w:r>
          </w:p>
        </w:tc>
        <w:tc>
          <w:tcPr>
            <w:tcW w:type="dxa" w:w="4238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0262B"/>
                <w:sz w:val="19"/>
                <w:szCs w:val="19"/>
              </w:rPr>
              <w:t xml:space="preserve">A passi distanziati di una o due settimane</w:t>
            </w:r>
          </w:p>
        </w:tc>
        <w:tc>
          <w:tcPr>
            <w:tcW w:type="dxa" w:w="34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0262B"/>
                <w:sz w:val="19"/>
                <w:szCs w:val="19"/>
              </w:rPr>
              <w:t xml:space="preserve">Prima i siti con i parametri UTM, poi le categorie delle residenze, poi quelle delle strutture KOS</w:t>
            </w:r>
          </w:p>
        </w:tc>
      </w:tr>
    </w:tbl>
    <w:p>
      <w:pPr>
        <w:spacing w:after="60"/>
      </w:pPr>
    </w:p>
    <w:p>
      <w:pPr>
        <w:spacing w:after="120" w:before="0" w:line="290"/>
        <w:jc w:val="both"/>
      </w:pPr>
      <w:r>
        <w:rPr>
          <w:rFonts w:ascii="Arial" w:cs="Arial" w:eastAsia="Arial" w:hAnsi="Arial"/>
          <w:color w:val="20262B"/>
          <w:sz w:val="21"/>
          <w:szCs w:val="21"/>
        </w:rPr>
        <w:t xml:space="preserve">Il motivo dei passi: ogni modifica passa una revisione di Google e una nuova categoria può richiedere una nuova verifica dell'attività. Cambiando una cosa per volta si limitano le verifiche e ogni effetto si attribuisce a un solo cambiamento. Le posizioni nelle ricerche sono misurate prima e dopo ogni passo.</w:t>
      </w:r>
    </w:p>
    <w:p>
      <w:pPr>
        <w:keepNext/>
        <w:pBdr>
          <w:bottom w:val="single" w:color="B8C7CC" w:sz="6" w:space="4"/>
        </w:pBdr>
        <w:spacing w:after="140" w:before="300"/>
      </w:pPr>
      <w:r>
        <w:rPr>
          <w:rFonts w:ascii="Arial" w:cs="Arial" w:eastAsia="Arial" w:hAnsi="Arial"/>
          <w:b/>
          <w:bCs/>
          <w:color w:val="1F5C6E"/>
          <w:sz w:val="28"/>
          <w:szCs w:val="28"/>
        </w:rPr>
        <w:t xml:space="preserve">2. Nomi delle schede: restano quelli attuali</w:t>
      </w:r>
    </w:p>
    <w:p>
      <w:pPr>
        <w:spacing w:after="120" w:before="0" w:line="290"/>
        <w:jc w:val="both"/>
      </w:pPr>
      <w:r>
        <w:rPr>
          <w:rFonts w:ascii="Arial" w:cs="Arial" w:eastAsia="Arial" w:hAnsi="Arial"/>
          <w:color w:val="20262B"/>
          <w:sz w:val="21"/>
          <w:szCs w:val="21"/>
        </w:rPr>
        <w:t xml:space="preserve">Il nome della scheda è il nome reale della struttura, lo stesso che compare sull'insegna, nella pagina del sito e nel dato strutturato. Non si aggiungono parole chiave come «RSA», la città o i servizi.</w:t>
      </w:r>
    </w:p>
    <w:p>
      <w:pPr>
        <w:spacing w:after="120" w:before="0" w:line="290"/>
        <w:jc w:val="both"/>
      </w:pPr>
      <w:r>
        <w:rPr>
          <w:rFonts w:ascii="Arial" w:cs="Arial" w:eastAsia="Arial" w:hAnsi="Arial"/>
          <w:color w:val="20262B"/>
          <w:sz w:val="21"/>
          <w:szCs w:val="21"/>
        </w:rPr>
        <w:t xml:space="preserve">Perché:</w:t>
      </w:r>
    </w:p>
    <w:p>
      <w:pPr>
        <w:pStyle w:val="ListParagraph"/>
        <w:numPr>
          <w:ilvl w:val="0"/>
          <w:numId w:val="2"/>
        </w:numPr>
        <w:spacing w:after="70" w:line="290"/>
        <w:jc w:val="both"/>
      </w:pPr>
      <w:r>
        <w:rPr>
          <w:rFonts w:ascii="Arial" w:cs="Arial" w:eastAsia="Arial" w:hAnsi="Arial"/>
          <w:b/>
          <w:bCs/>
          <w:color w:val="20262B"/>
          <w:sz w:val="21"/>
          <w:szCs w:val="21"/>
        </w:rPr>
        <w:t xml:space="preserve">Le regole di Google lo vietano.</w:t>
      </w:r>
      <w:r>
        <w:rPr>
          <w:rFonts w:ascii="Arial" w:cs="Arial" w:eastAsia="Arial" w:hAnsi="Arial"/>
          <w:color w:val="20262B"/>
          <w:sz w:val="21"/>
          <w:szCs w:val="21"/>
        </w:rPr>
        <w:t xml:space="preserve"> Le </w:t>
      </w:r>
      <w:hyperlink w:history="1" r:id="rIdx9io8tvyg5xpsqgxxbukp">
        <w:r>
          <w:rPr>
            <w:rFonts w:ascii="Arial" w:cs="Arial" w:eastAsia="Arial" w:hAnsi="Arial"/>
            <w:color w:val="1F5C6E"/>
            <w:sz w:val="21"/>
            <w:szCs w:val="21"/>
            <w:u w:val="single"/>
          </w:rPr>
          <w:t xml:space="preserve">linee guida per la rappresentazione</w:t>
        </w:r>
      </w:hyperlink>
      <w:r>
        <w:rPr>
          <w:rFonts w:ascii="Arial" w:cs="Arial" w:eastAsia="Arial" w:hAnsi="Arial"/>
          <w:color w:val="20262B"/>
          <w:sz w:val="21"/>
          <w:szCs w:val="21"/>
        </w:rPr>
        <w:t xml:space="preserve"> chiedono il nome usato nel mondo reale ed escludono esplicitamente parole chiave, località e servizi aggiunti.</w:t>
      </w:r>
    </w:p>
    <w:p>
      <w:pPr>
        <w:pStyle w:val="ListParagraph"/>
        <w:numPr>
          <w:ilvl w:val="0"/>
          <w:numId w:val="2"/>
        </w:numPr>
        <w:spacing w:after="70" w:line="290"/>
        <w:jc w:val="both"/>
      </w:pPr>
      <w:r>
        <w:rPr>
          <w:rFonts w:ascii="Arial" w:cs="Arial" w:eastAsia="Arial" w:hAnsi="Arial"/>
          <w:b/>
          <w:bCs/>
          <w:color w:val="20262B"/>
          <w:sz w:val="21"/>
          <w:szCs w:val="21"/>
        </w:rPr>
        <w:t xml:space="preserve">Il rischio è su tutta la catena.</w:t>
      </w:r>
      <w:r>
        <w:rPr>
          <w:rFonts w:ascii="Arial" w:cs="Arial" w:eastAsia="Arial" w:hAnsi="Arial"/>
          <w:color w:val="20262B"/>
          <w:sz w:val="21"/>
          <w:szCs w:val="21"/>
        </w:rPr>
        <w:t xml:space="preserve"> Le schede di un gruppo con nomi modificati possono essere sospese insieme. Su 60 residenze il danno sarebbe molto più grande di qualsiasi guadagno di posizione.</w:t>
      </w:r>
    </w:p>
    <w:p>
      <w:pPr>
        <w:pStyle w:val="ListParagraph"/>
        <w:numPr>
          <w:ilvl w:val="0"/>
          <w:numId w:val="2"/>
        </w:numPr>
        <w:spacing w:after="70" w:line="290"/>
        <w:jc w:val="both"/>
      </w:pPr>
      <w:r>
        <w:rPr>
          <w:rFonts w:ascii="Arial" w:cs="Arial" w:eastAsia="Arial" w:hAnsi="Arial"/>
          <w:b/>
          <w:bCs/>
          <w:color w:val="20262B"/>
          <w:sz w:val="21"/>
          <w:szCs w:val="21"/>
        </w:rPr>
        <w:t xml:space="preserve">Coerenza tra le fonti.</w:t>
      </w:r>
      <w:r>
        <w:rPr>
          <w:rFonts w:ascii="Arial" w:cs="Arial" w:eastAsia="Arial" w:hAnsi="Arial"/>
          <w:color w:val="20262B"/>
          <w:sz w:val="21"/>
          <w:szCs w:val="21"/>
        </w:rPr>
        <w:t xml:space="preserve"> Google confronta il nome della scheda con quello del sito e delle directory. Un nome uguale dappertutto rafforza l'identità della struttura; un nome diverso la indebolisce.</w:t>
      </w:r>
    </w:p>
    <w:p>
      <w:pPr>
        <w:pStyle w:val="ListParagraph"/>
        <w:numPr>
          <w:ilvl w:val="0"/>
          <w:numId w:val="2"/>
        </w:numPr>
        <w:spacing w:after="70" w:line="290"/>
        <w:jc w:val="both"/>
      </w:pPr>
      <w:r>
        <w:rPr>
          <w:rFonts w:ascii="Arial" w:cs="Arial" w:eastAsia="Arial" w:hAnsi="Arial"/>
          <w:b/>
          <w:bCs/>
          <w:color w:val="20262B"/>
          <w:sz w:val="21"/>
          <w:szCs w:val="21"/>
        </w:rPr>
        <w:t xml:space="preserve">«RSA» ha un significato preciso.</w:t>
      </w:r>
      <w:r>
        <w:rPr>
          <w:rFonts w:ascii="Arial" w:cs="Arial" w:eastAsia="Arial" w:hAnsi="Arial"/>
          <w:color w:val="20262B"/>
          <w:sz w:val="21"/>
          <w:szCs w:val="21"/>
        </w:rPr>
        <w:t xml:space="preserve"> Indica un'autorizzazione e un regime di accreditamento che va verificato struttura per struttura.</w:t>
      </w:r>
    </w:p>
    <w:p>
      <w:pPr>
        <w:spacing w:after="120" w:before="180" w:line="290"/>
        <w:jc w:val="both"/>
      </w:pPr>
      <w:r>
        <w:rPr>
          <w:rFonts w:ascii="Arial" w:cs="Arial" w:eastAsia="Arial" w:hAnsi="Arial"/>
          <w:color w:val="20262B"/>
          <w:sz w:val="21"/>
          <w:szCs w:val="21"/>
        </w:rPr>
        <w:t xml:space="preserve">Le parole chiave hanno altri posti, consentiti e utili: la categoria (sezione 4), i servizi della scheda, la descrizione informativa e il titolo della pagina del sito.</w:t>
      </w:r>
    </w:p>
    <w:p>
      <w:pPr>
        <w:keepNext/>
        <w:pBdr>
          <w:bottom w:val="single" w:color="B8C7CC" w:sz="6" w:space="4"/>
        </w:pBdr>
        <w:spacing w:after="140" w:before="300"/>
      </w:pPr>
      <w:r>
        <w:rPr>
          <w:rFonts w:ascii="Arial" w:cs="Arial" w:eastAsia="Arial" w:hAnsi="Arial"/>
          <w:b/>
          <w:bCs/>
          <w:color w:val="1F5C6E"/>
          <w:sz w:val="28"/>
          <w:szCs w:val="28"/>
        </w:rPr>
        <w:t xml:space="preserve">3. Sito della scheda: l'URL canonico, con parametri UTM aggiunti solo verso Google</w:t>
      </w:r>
    </w:p>
    <w:tbl>
      <w:tblPr>
        <w:tblW w:type="dxa" w:w="9638"/>
        <w:tblBorders>
          <w:top w:val="single" w:color="B8C7CC" w:sz="4"/>
          <w:left w:val="single" w:color="B8C7CC" w:sz="4"/>
          <w:bottom w:val="single" w:color="B8C7CC" w:sz="4"/>
          <w:right w:val="single" w:color="B8C7CC" w:sz="4"/>
          <w:insideH w:val="single" w:color="B8C7CC" w:sz="4"/>
          <w:insideV w:val="single" w:color="B8C7CC" w:sz="4"/>
        </w:tblBorders>
      </w:tblPr>
      <w:tblGrid>
        <w:gridCol w:w="2200"/>
        <w:gridCol w:w="7438"/>
      </w:tblGrid>
      <w:tr>
        <w:trPr>
          <w:cantSplit/>
          <w:tblHeader/>
        </w:trPr>
        <w:tc>
          <w:tcPr>
            <w:tcW w:type="dxa" w:w="2200"/>
            <w:shd w:fill="1F5C6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Dato</w:t>
            </w:r>
          </w:p>
        </w:tc>
        <w:tc>
          <w:tcPr>
            <w:tcW w:type="dxa" w:w="7438"/>
            <w:shd w:fill="1F5C6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Regola</w:t>
            </w:r>
          </w:p>
        </w:tc>
      </w:tr>
      <w:tr>
        <w:trPr>
          <w:cantSplit/>
          <w:tblHeader w:val="false"/>
        </w:trPr>
        <w:tc>
          <w:tcPr>
            <w:tcW w:type="dxa" w:w="2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0262B"/>
                <w:sz w:val="19"/>
                <w:szCs w:val="19"/>
              </w:rPr>
              <w:t xml:space="preserve">Sito nell'archivio RetailTune</w:t>
            </w:r>
          </w:p>
        </w:tc>
        <w:tc>
          <w:tcPr>
            <w:tcW w:type="dxa" w:w="7438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0262B"/>
                <w:sz w:val="19"/>
                <w:szCs w:val="19"/>
              </w:rPr>
              <w:t xml:space="preserve">L'URL canonico della pagina della struttura su kosgroup.com o anniazzurri.it, che risponde senza reindirizzamenti</w:t>
            </w:r>
          </w:p>
        </w:tc>
      </w:tr>
      <w:tr>
        <w:trPr>
          <w:cantSplit/>
          <w:tblHeader w:val="false"/>
        </w:trPr>
        <w:tc>
          <w:tcPr>
            <w:tcW w:type="dxa" w:w="2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0262B"/>
                <w:sz w:val="19"/>
                <w:szCs w:val="19"/>
              </w:rPr>
              <w:t xml:space="preserve">Sito pubblicato nella scheda</w:t>
            </w:r>
          </w:p>
        </w:tc>
        <w:tc>
          <w:tcPr>
            <w:tcW w:type="dxa" w:w="7438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0262B"/>
                <w:sz w:val="19"/>
                <w:szCs w:val="19"/>
              </w:rPr>
              <w:t xml:space="preserve">Lo stesso URL con i parametri aggiunti da RetailTune nella sincronizzazione: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5C6E"/>
                <w:sz w:val="17"/>
                <w:szCs w:val="17"/>
              </w:rPr>
              <w:t xml:space="preserve">?utm_source=google&amp;utm_medium=organic&amp;utm_campaign=gbp</w:t>
            </w:r>
          </w:p>
        </w:tc>
      </w:tr>
      <w:tr>
        <w:trPr>
          <w:cantSplit/>
          <w:tblHeader w:val="false"/>
        </w:trPr>
        <w:tc>
          <w:tcPr>
            <w:tcW w:type="dxa" w:w="2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0262B"/>
                <w:sz w:val="19"/>
                <w:szCs w:val="19"/>
              </w:rPr>
              <w:t xml:space="preserve">Link per appuntamenti e prenotazioni</w:t>
            </w:r>
          </w:p>
        </w:tc>
        <w:tc>
          <w:tcPr>
            <w:tcW w:type="dxa" w:w="7438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0262B"/>
                <w:sz w:val="19"/>
                <w:szCs w:val="19"/>
              </w:rPr>
              <w:t xml:space="preserve">La pagina di prenotazione della struttura, senza reindirizzamenti né parametri di sessione</w:t>
            </w:r>
          </w:p>
        </w:tc>
      </w:tr>
    </w:tbl>
    <w:p>
      <w:pPr>
        <w:spacing w:after="60"/>
      </w:pPr>
    </w:p>
    <w:p>
      <w:pPr>
        <w:spacing w:after="120" w:before="0" w:line="290"/>
        <w:jc w:val="both"/>
      </w:pPr>
      <w:r>
        <w:rPr>
          <w:rFonts w:ascii="Arial" w:cs="Arial" w:eastAsia="Arial" w:hAnsi="Arial"/>
          <w:color w:val="20262B"/>
          <w:sz w:val="21"/>
          <w:szCs w:val="21"/>
        </w:rPr>
        <w:t xml:space="preserve">Con </w:t>
      </w:r>
      <w:r>
        <w:rPr>
          <w:rFonts w:ascii="Consolas" w:cs="Consolas" w:eastAsia="Consolas" w:hAnsi="Consolas"/>
          <w:color w:val="1F5C6E"/>
          <w:sz w:val="19"/>
          <w:szCs w:val="19"/>
        </w:rPr>
        <w:t xml:space="preserve">utm_medium=organic</w:t>
      </w:r>
      <w:r>
        <w:rPr>
          <w:rFonts w:ascii="Arial" w:cs="Arial" w:eastAsia="Arial" w:hAnsi="Arial"/>
          <w:color w:val="20262B"/>
          <w:sz w:val="21"/>
          <w:szCs w:val="21"/>
        </w:rPr>
        <w:t xml:space="preserve"> le visite dalle schede restano nel canale «Organic Search» di Google Analytics e si distinguono dalla campagna </w:t>
      </w:r>
      <w:r>
        <w:rPr>
          <w:rFonts w:ascii="Consolas" w:cs="Consolas" w:eastAsia="Consolas" w:hAnsi="Consolas"/>
          <w:color w:val="1F5C6E"/>
          <w:sz w:val="19"/>
          <w:szCs w:val="19"/>
        </w:rPr>
        <w:t xml:space="preserve">gbp</w:t>
      </w:r>
      <w:r>
        <w:rPr>
          <w:rFonts w:ascii="Arial" w:cs="Arial" w:eastAsia="Arial" w:hAnsi="Arial"/>
          <w:color w:val="20262B"/>
          <w:sz w:val="21"/>
          <w:szCs w:val="21"/>
        </w:rPr>
        <w:t xml:space="preserve">. Tenendo i parametri fuori dall'archivio, le pagine del sito e il dato strutturato restano sull'URL pulito.</w:t>
      </w:r>
    </w:p>
    <w:p>
      <w:pPr>
        <w:spacing w:after="120" w:before="0" w:line="290"/>
        <w:jc w:val="both"/>
      </w:pPr>
      <w:r>
        <w:rPr>
          <w:rFonts w:ascii="Arial" w:cs="Arial" w:eastAsia="Arial" w:hAnsi="Arial"/>
          <w:b/>
          <w:bCs/>
          <w:color w:val="20262B"/>
          <w:sz w:val="21"/>
          <w:szCs w:val="21"/>
        </w:rPr>
        <w:t xml:space="preserve">Da confermare:</w:t>
      </w:r>
      <w:r>
        <w:rPr>
          <w:rFonts w:ascii="Arial" w:cs="Arial" w:eastAsia="Arial" w:hAnsi="Arial"/>
          <w:color w:val="20262B"/>
          <w:sz w:val="21"/>
          <w:szCs w:val="21"/>
        </w:rPr>
        <w:t xml:space="preserve"> i valori dei parametri, se KOS o l'agenzia usano già una convenzione diversa.</w:t>
      </w:r>
    </w:p>
    <w:p>
      <w:pPr>
        <w:keepNext/>
        <w:pBdr>
          <w:bottom w:val="single" w:color="B8C7CC" w:sz="6" w:space="4"/>
        </w:pBdr>
        <w:spacing w:after="140" w:before="300"/>
      </w:pPr>
      <w:r>
        <w:rPr>
          <w:rFonts w:ascii="Arial" w:cs="Arial" w:eastAsia="Arial" w:hAnsi="Arial"/>
          <w:b/>
          <w:bCs/>
          <w:color w:val="1F5C6E"/>
          <w:sz w:val="28"/>
          <w:szCs w:val="28"/>
        </w:rPr>
        <w:t xml:space="preserve">4. Categorie</w:t>
      </w:r>
    </w:p>
    <w:p>
      <w:pPr>
        <w:spacing w:after="120" w:before="0" w:line="290"/>
        <w:jc w:val="both"/>
      </w:pPr>
      <w:r>
        <w:rPr>
          <w:rFonts w:ascii="Arial" w:cs="Arial" w:eastAsia="Arial" w:hAnsi="Arial"/>
          <w:color w:val="20262B"/>
          <w:sz w:val="21"/>
          <w:szCs w:val="21"/>
        </w:rPr>
        <w:t xml:space="preserve">Le regole sono tre:</w:t>
      </w:r>
    </w:p>
    <w:p>
      <w:pPr>
        <w:pStyle w:val="ListParagraph"/>
        <w:numPr>
          <w:ilvl w:val="0"/>
          <w:numId w:val="2"/>
        </w:numPr>
        <w:spacing w:after="70" w:line="290"/>
        <w:jc w:val="both"/>
      </w:pPr>
      <w:r>
        <w:rPr>
          <w:rFonts w:ascii="Arial" w:cs="Arial" w:eastAsia="Arial" w:hAnsi="Arial"/>
          <w:color w:val="20262B"/>
          <w:sz w:val="21"/>
          <w:szCs w:val="21"/>
        </w:rPr>
        <w:t xml:space="preserve">la categoria principale descrive la struttura, non i professionisti che ci lavorano;</w:t>
      </w:r>
    </w:p>
    <w:p>
      <w:pPr>
        <w:pStyle w:val="ListParagraph"/>
        <w:numPr>
          <w:ilvl w:val="0"/>
          <w:numId w:val="2"/>
        </w:numPr>
        <w:spacing w:after="70" w:line="290"/>
        <w:jc w:val="both"/>
      </w:pPr>
      <w:r>
        <w:rPr>
          <w:rFonts w:ascii="Arial" w:cs="Arial" w:eastAsia="Arial" w:hAnsi="Arial"/>
          <w:color w:val="20262B"/>
          <w:sz w:val="21"/>
          <w:szCs w:val="21"/>
        </w:rPr>
        <w:t xml:space="preserve">le categorie aggiuntive corrispondono a servizi o reparti che esistono davvero;</w:t>
      </w:r>
    </w:p>
    <w:p>
      <w:pPr>
        <w:pStyle w:val="ListParagraph"/>
        <w:numPr>
          <w:ilvl w:val="0"/>
          <w:numId w:val="2"/>
        </w:numPr>
        <w:spacing w:after="70" w:line="290"/>
        <w:jc w:val="both"/>
      </w:pPr>
      <w:r>
        <w:rPr>
          <w:rFonts w:ascii="Arial" w:cs="Arial" w:eastAsia="Arial" w:hAnsi="Arial"/>
          <w:color w:val="20262B"/>
          <w:sz w:val="21"/>
          <w:szCs w:val="21"/>
        </w:rPr>
        <w:t xml:space="preserve">le strutture di una catena che offrono lo stesso servizio hanno la stessa categoria principale.</w:t>
      </w:r>
    </w:p>
    <w:p>
      <w:pPr>
        <w:spacing w:after="120" w:before="180" w:line="290"/>
        <w:jc w:val="both"/>
      </w:pPr>
      <w:r>
        <w:rPr>
          <w:rFonts w:ascii="Arial" w:cs="Arial" w:eastAsia="Arial" w:hAnsi="Arial"/>
          <w:color w:val="20262B"/>
          <w:sz w:val="21"/>
          <w:szCs w:val="21"/>
        </w:rPr>
        <w:t xml:space="preserve">Le categorie si indicano per codice, non per nome: in italiano alcuni nomi compaiono due volte e indicano categorie diverse (per esempio «Casa di riposo»). I codici li conferma RetailTune prima del passaggio. RetailTune mantiene le categorie principali attuali e non ne cambia nessuna senza accordo scritto.</w:t>
      </w:r>
    </w:p>
    <w:p>
      <w:pPr>
        <w:spacing w:after="100" w:before="200"/>
      </w:pPr>
      <w:r>
        <w:rPr>
          <w:rFonts w:ascii="Arial" w:cs="Arial" w:eastAsia="Arial" w:hAnsi="Arial"/>
          <w:b/>
          <w:bCs/>
          <w:color w:val="1F5C6E"/>
          <w:sz w:val="22"/>
          <w:szCs w:val="22"/>
        </w:rPr>
        <w:t xml:space="preserve">Residenze Anni Azzurri (57 residenze aperte)</w:t>
      </w:r>
    </w:p>
    <w:tbl>
      <w:tblPr>
        <w:tblW w:type="dxa" w:w="9638"/>
        <w:tblBorders>
          <w:top w:val="single" w:color="B8C7CC" w:sz="4"/>
          <w:left w:val="single" w:color="B8C7CC" w:sz="4"/>
          <w:bottom w:val="single" w:color="B8C7CC" w:sz="4"/>
          <w:right w:val="single" w:color="B8C7CC" w:sz="4"/>
          <w:insideH w:val="single" w:color="B8C7CC" w:sz="4"/>
          <w:insideV w:val="single" w:color="B8C7CC" w:sz="4"/>
        </w:tblBorders>
      </w:tblPr>
      <w:tblGrid>
        <w:gridCol w:w="2000"/>
        <w:gridCol w:w="4238"/>
        <w:gridCol w:w="3400"/>
      </w:tblGrid>
      <w:tr>
        <w:trPr>
          <w:cantSplit/>
          <w:tblHeader/>
        </w:trPr>
        <w:tc>
          <w:tcPr>
            <w:tcW w:type="dxa" w:w="2000"/>
            <w:shd w:fill="1F5C6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Categoria</w:t>
            </w:r>
          </w:p>
        </w:tc>
        <w:tc>
          <w:tcPr>
            <w:tcW w:type="dxa" w:w="4238"/>
            <w:shd w:fill="1F5C6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Ruolo</w:t>
            </w:r>
          </w:p>
        </w:tc>
        <w:tc>
          <w:tcPr>
            <w:tcW w:type="dxa" w:w="3400"/>
            <w:shd w:fill="1F5C6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Dove</w:t>
            </w:r>
          </w:p>
        </w:tc>
      </w:tr>
      <w:tr>
        <w:trPr>
          <w:cantSplit/>
          <w:tblHeader w:val="false"/>
        </w:trPr>
        <w:tc>
          <w:tcPr>
            <w:tcW w:type="dxa" w:w="20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0262B"/>
                <w:sz w:val="19"/>
                <w:szCs w:val="19"/>
              </w:rPr>
              <w:t xml:space="preserve">Casa di riposo</w:t>
            </w:r>
          </w:p>
        </w:tc>
        <w:tc>
          <w:tcPr>
            <w:tcW w:type="dxa" w:w="4238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0262B"/>
                <w:sz w:val="19"/>
                <w:szCs w:val="19"/>
              </w:rPr>
              <w:t xml:space="preserve">Principale (oggi «Casa di cura»)</w:t>
            </w:r>
          </w:p>
        </w:tc>
        <w:tc>
          <w:tcPr>
            <w:tcW w:type="dxa" w:w="34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0262B"/>
                <w:sz w:val="19"/>
                <w:szCs w:val="19"/>
              </w:rPr>
              <w:t xml:space="preserve">Tutte</w:t>
            </w:r>
          </w:p>
        </w:tc>
      </w:tr>
      <w:tr>
        <w:trPr>
          <w:cantSplit/>
          <w:tblHeader w:val="false"/>
        </w:trPr>
        <w:tc>
          <w:tcPr>
            <w:tcW w:type="dxa" w:w="20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0262B"/>
                <w:sz w:val="19"/>
                <w:szCs w:val="19"/>
              </w:rPr>
              <w:t xml:space="preserve">Casa di cura</w:t>
            </w:r>
          </w:p>
        </w:tc>
        <w:tc>
          <w:tcPr>
            <w:tcW w:type="dxa" w:w="4238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0262B"/>
                <w:sz w:val="19"/>
                <w:szCs w:val="19"/>
              </w:rPr>
              <w:t xml:space="preserve">Aggiuntiva</w:t>
            </w:r>
          </w:p>
        </w:tc>
        <w:tc>
          <w:tcPr>
            <w:tcW w:type="dxa" w:w="34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0262B"/>
                <w:sz w:val="19"/>
                <w:szCs w:val="19"/>
              </w:rPr>
              <w:t xml:space="preserve">Tutte</w:t>
            </w:r>
          </w:p>
        </w:tc>
      </w:tr>
      <w:tr>
        <w:trPr>
          <w:cantSplit/>
          <w:tblHeader w:val="false"/>
        </w:trPr>
        <w:tc>
          <w:tcPr>
            <w:tcW w:type="dxa" w:w="20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0262B"/>
                <w:sz w:val="19"/>
                <w:szCs w:val="19"/>
              </w:rPr>
              <w:t xml:space="preserve">Assistenza agli anziani</w:t>
            </w:r>
          </w:p>
        </w:tc>
        <w:tc>
          <w:tcPr>
            <w:tcW w:type="dxa" w:w="4238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0262B"/>
                <w:sz w:val="19"/>
                <w:szCs w:val="19"/>
              </w:rPr>
              <w:t xml:space="preserve">Aggiuntiva</w:t>
            </w:r>
          </w:p>
        </w:tc>
        <w:tc>
          <w:tcPr>
            <w:tcW w:type="dxa" w:w="34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0262B"/>
                <w:sz w:val="19"/>
                <w:szCs w:val="19"/>
              </w:rPr>
              <w:t xml:space="preserve">Tutte</w:t>
            </w:r>
          </w:p>
        </w:tc>
      </w:tr>
      <w:tr>
        <w:trPr>
          <w:cantSplit/>
          <w:tblHeader w:val="false"/>
        </w:trPr>
        <w:tc>
          <w:tcPr>
            <w:tcW w:type="dxa" w:w="20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0262B"/>
                <w:sz w:val="19"/>
                <w:szCs w:val="19"/>
              </w:rPr>
              <w:t xml:space="preserve">Centro diurno per adulti</w:t>
            </w:r>
          </w:p>
        </w:tc>
        <w:tc>
          <w:tcPr>
            <w:tcW w:type="dxa" w:w="4238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0262B"/>
                <w:sz w:val="19"/>
                <w:szCs w:val="19"/>
              </w:rPr>
              <w:t xml:space="preserve">Aggiuntiva</w:t>
            </w:r>
          </w:p>
        </w:tc>
        <w:tc>
          <w:tcPr>
            <w:tcW w:type="dxa" w:w="34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0262B"/>
                <w:sz w:val="19"/>
                <w:szCs w:val="19"/>
              </w:rPr>
              <w:t xml:space="preserve">Solo con centro diurno integrato</w:t>
            </w:r>
          </w:p>
        </w:tc>
      </w:tr>
      <w:tr>
        <w:trPr>
          <w:cantSplit/>
          <w:tblHeader w:val="false"/>
        </w:trPr>
        <w:tc>
          <w:tcPr>
            <w:tcW w:type="dxa" w:w="20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0262B"/>
                <w:sz w:val="19"/>
                <w:szCs w:val="19"/>
              </w:rPr>
              <w:t xml:space="preserve">Centro di riabilitazione</w:t>
            </w:r>
          </w:p>
        </w:tc>
        <w:tc>
          <w:tcPr>
            <w:tcW w:type="dxa" w:w="4238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0262B"/>
                <w:sz w:val="19"/>
                <w:szCs w:val="19"/>
              </w:rPr>
              <w:t xml:space="preserve">Aggiuntiva</w:t>
            </w:r>
          </w:p>
        </w:tc>
        <w:tc>
          <w:tcPr>
            <w:tcW w:type="dxa" w:w="34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0262B"/>
                <w:sz w:val="19"/>
                <w:szCs w:val="19"/>
              </w:rPr>
              <w:t xml:space="preserve">Solo con unità di riabilitazione</w:t>
            </w:r>
          </w:p>
        </w:tc>
      </w:tr>
      <w:tr>
        <w:trPr>
          <w:cantSplit/>
          <w:tblHeader w:val="false"/>
        </w:trPr>
        <w:tc>
          <w:tcPr>
            <w:tcW w:type="dxa" w:w="20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0262B"/>
                <w:sz w:val="19"/>
                <w:szCs w:val="19"/>
              </w:rPr>
              <w:t xml:space="preserve">Casa di cura per lungodegenti</w:t>
            </w:r>
          </w:p>
        </w:tc>
        <w:tc>
          <w:tcPr>
            <w:tcW w:type="dxa" w:w="4238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0262B"/>
                <w:sz w:val="19"/>
                <w:szCs w:val="19"/>
              </w:rPr>
              <w:t xml:space="preserve">Aggiuntiva</w:t>
            </w:r>
          </w:p>
        </w:tc>
        <w:tc>
          <w:tcPr>
            <w:tcW w:type="dxa" w:w="34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0262B"/>
                <w:sz w:val="19"/>
                <w:szCs w:val="19"/>
              </w:rPr>
              <w:t xml:space="preserve">Solo con cure intermedie o post-acuzie</w:t>
            </w:r>
          </w:p>
        </w:tc>
      </w:tr>
      <w:tr>
        <w:trPr>
          <w:cantSplit/>
          <w:tblHeader w:val="false"/>
        </w:trPr>
        <w:tc>
          <w:tcPr>
            <w:tcW w:type="dxa" w:w="20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0262B"/>
                <w:sz w:val="19"/>
                <w:szCs w:val="19"/>
              </w:rPr>
              <w:t xml:space="preserve">Servizio di assistenza domiciliare</w:t>
            </w:r>
          </w:p>
        </w:tc>
        <w:tc>
          <w:tcPr>
            <w:tcW w:type="dxa" w:w="4238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0262B"/>
                <w:sz w:val="19"/>
                <w:szCs w:val="19"/>
              </w:rPr>
              <w:t xml:space="preserve">Aggiuntiva</w:t>
            </w:r>
          </w:p>
        </w:tc>
        <w:tc>
          <w:tcPr>
            <w:tcW w:type="dxa" w:w="34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0262B"/>
                <w:sz w:val="19"/>
                <w:szCs w:val="19"/>
              </w:rPr>
              <w:t xml:space="preserve">Solo dove la residenza eroga RSA Aperta</w:t>
            </w:r>
          </w:p>
        </w:tc>
      </w:tr>
      <w:tr>
        <w:trPr>
          <w:cantSplit/>
          <w:tblHeader w:val="false"/>
        </w:trPr>
        <w:tc>
          <w:tcPr>
            <w:tcW w:type="dxa" w:w="20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0262B"/>
                <w:sz w:val="19"/>
                <w:szCs w:val="19"/>
              </w:rPr>
              <w:t xml:space="preserve">Geriatra, Servizio di salute mentale</w:t>
            </w:r>
          </w:p>
        </w:tc>
        <w:tc>
          <w:tcPr>
            <w:tcW w:type="dxa" w:w="4238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0262B"/>
                <w:sz w:val="19"/>
                <w:szCs w:val="19"/>
              </w:rPr>
              <w:t xml:space="preserve">Da togliere</w:t>
            </w:r>
          </w:p>
        </w:tc>
        <w:tc>
          <w:tcPr>
            <w:tcW w:type="dxa" w:w="34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0262B"/>
                <w:sz w:val="19"/>
                <w:szCs w:val="19"/>
              </w:rPr>
              <w:t xml:space="preserve">Oggi su 51 e 42 residenze</w:t>
            </w:r>
          </w:p>
        </w:tc>
      </w:tr>
      <w:tr>
        <w:trPr>
          <w:cantSplit/>
          <w:tblHeader w:val="false"/>
        </w:trPr>
        <w:tc>
          <w:tcPr>
            <w:tcW w:type="dxa" w:w="20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0262B"/>
                <w:sz w:val="19"/>
                <w:szCs w:val="19"/>
              </w:rPr>
              <w:t xml:space="preserve">Centro anziani</w:t>
            </w:r>
          </w:p>
        </w:tc>
        <w:tc>
          <w:tcPr>
            <w:tcW w:type="dxa" w:w="4238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0262B"/>
                <w:sz w:val="19"/>
                <w:szCs w:val="19"/>
              </w:rPr>
              <w:t xml:space="preserve">Da togliere, se il codice indica un centro sociale per anziani</w:t>
            </w:r>
          </w:p>
        </w:tc>
        <w:tc>
          <w:tcPr>
            <w:tcW w:type="dxa" w:w="34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0262B"/>
                <w:sz w:val="19"/>
                <w:szCs w:val="19"/>
              </w:rPr>
              <w:t xml:space="preserve">Oggi su 54 residenze</w:t>
            </w:r>
          </w:p>
        </w:tc>
      </w:tr>
    </w:tbl>
    <w:p>
      <w:pPr>
        <w:spacing w:after="60"/>
      </w:pPr>
    </w:p>
    <w:p>
      <w:pPr>
        <w:spacing w:after="120" w:before="0" w:line="290"/>
        <w:jc w:val="both"/>
      </w:pPr>
      <w:r>
        <w:rPr>
          <w:rFonts w:ascii="Arial" w:cs="Arial" w:eastAsia="Arial" w:hAnsi="Arial"/>
          <w:color w:val="20262B"/>
          <w:sz w:val="21"/>
          <w:szCs w:val="21"/>
        </w:rPr>
        <w:t xml:space="preserve">Motivazioni:</w:t>
      </w:r>
    </w:p>
    <w:p>
      <w:pPr>
        <w:pStyle w:val="ListParagraph"/>
        <w:numPr>
          <w:ilvl w:val="0"/>
          <w:numId w:val="2"/>
        </w:numPr>
        <w:spacing w:after="70" w:line="290"/>
        <w:jc w:val="both"/>
      </w:pPr>
      <w:r>
        <w:rPr>
          <w:rFonts w:ascii="Arial" w:cs="Arial" w:eastAsia="Arial" w:hAnsi="Arial"/>
          <w:color w:val="20262B"/>
          <w:sz w:val="21"/>
          <w:szCs w:val="21"/>
        </w:rPr>
        <w:t xml:space="preserve">I concorrenti diretti (Korian, Sereni Orizzonti, Gruppo La Villa, Gheron) usano «Casa di riposo» come principale. Nelle ricerche «RSA Milano» e «casa di riposo Torino», 19 risultati su 20 hanno questa categoria.</w:t>
      </w:r>
    </w:p>
    <w:p>
      <w:pPr>
        <w:pStyle w:val="ListParagraph"/>
        <w:numPr>
          <w:ilvl w:val="0"/>
          <w:numId w:val="2"/>
        </w:numPr>
        <w:spacing w:after="70" w:line="290"/>
        <w:jc w:val="both"/>
      </w:pPr>
      <w:r>
        <w:rPr>
          <w:rFonts w:ascii="Arial" w:cs="Arial" w:eastAsia="Arial" w:hAnsi="Arial"/>
          <w:color w:val="20262B"/>
          <w:sz w:val="21"/>
          <w:szCs w:val="21"/>
        </w:rPr>
        <w:t xml:space="preserve">«Geriatra» è la categoria di un singolo medico: su una residenza porta Google a classificarla come studio medico.</w:t>
      </w:r>
    </w:p>
    <w:p>
      <w:pPr>
        <w:pStyle w:val="ListParagraph"/>
        <w:numPr>
          <w:ilvl w:val="0"/>
          <w:numId w:val="2"/>
        </w:numPr>
        <w:spacing w:after="70" w:line="290"/>
        <w:jc w:val="both"/>
      </w:pPr>
      <w:r>
        <w:rPr>
          <w:rFonts w:ascii="Arial" w:cs="Arial" w:eastAsia="Arial" w:hAnsi="Arial"/>
          <w:color w:val="20262B"/>
          <w:sz w:val="21"/>
          <w:szCs w:val="21"/>
        </w:rPr>
        <w:t xml:space="preserve">Il selettore italiano non ha categorie per Alzheimer, demenza, residenza assistita o hospice. Se esistono nel catalogo globale con un codice diverso, RetailTune lo verifica.</w:t>
      </w:r>
    </w:p>
    <w:p>
      <w:pPr>
        <w:spacing w:after="100" w:before="200"/>
      </w:pPr>
      <w:r>
        <w:rPr>
          <w:rFonts w:ascii="Arial" w:cs="Arial" w:eastAsia="Arial" w:hAnsi="Arial"/>
          <w:b/>
          <w:bCs/>
          <w:color w:val="1F5C6E"/>
          <w:sz w:val="22"/>
          <w:szCs w:val="22"/>
        </w:rPr>
        <w:t xml:space="preserve">Strutture KOS</w:t>
      </w:r>
    </w:p>
    <w:tbl>
      <w:tblPr>
        <w:tblW w:type="dxa" w:w="9638"/>
        <w:tblBorders>
          <w:top w:val="single" w:color="B8C7CC" w:sz="4"/>
          <w:left w:val="single" w:color="B8C7CC" w:sz="4"/>
          <w:bottom w:val="single" w:color="B8C7CC" w:sz="4"/>
          <w:right w:val="single" w:color="B8C7CC" w:sz="4"/>
          <w:insideH w:val="single" w:color="B8C7CC" w:sz="4"/>
          <w:insideV w:val="single" w:color="B8C7CC" w:sz="4"/>
        </w:tblBorders>
      </w:tblPr>
      <w:tblGrid>
        <w:gridCol w:w="1700"/>
        <w:gridCol w:w="2400"/>
        <w:gridCol w:w="2938"/>
        <w:gridCol w:w="2600"/>
      </w:tblGrid>
      <w:tr>
        <w:trPr>
          <w:cantSplit/>
          <w:tblHeader/>
        </w:trPr>
        <w:tc>
          <w:tcPr>
            <w:tcW w:type="dxa" w:w="1700"/>
            <w:shd w:fill="1F5C6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Gruppo</w:t>
            </w:r>
          </w:p>
        </w:tc>
        <w:tc>
          <w:tcPr>
            <w:tcW w:type="dxa" w:w="2400"/>
            <w:shd w:fill="1F5C6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Principale proposta</w:t>
            </w:r>
          </w:p>
        </w:tc>
        <w:tc>
          <w:tcPr>
            <w:tcW w:type="dxa" w:w="2938"/>
            <w:shd w:fill="1F5C6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Aggiuntive</w:t>
            </w:r>
          </w:p>
        </w:tc>
        <w:tc>
          <w:tcPr>
            <w:tcW w:type="dxa" w:w="2600"/>
            <w:shd w:fill="1F5C6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Da togliere</w:t>
            </w:r>
          </w:p>
        </w:tc>
      </w:tr>
      <w:tr>
        <w:trPr>
          <w:cantSplit/>
          <w:tblHeader w:val="false"/>
        </w:trPr>
        <w:tc>
          <w:tcPr>
            <w:tcW w:type="dxa" w:w="17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0262B"/>
                <w:sz w:val="19"/>
                <w:szCs w:val="19"/>
              </w:rPr>
              <w:t xml:space="preserve">Centri e ospedali di riabilitazione</w:t>
            </w:r>
          </w:p>
        </w:tc>
        <w:tc>
          <w:tcPr>
            <w:tcW w:type="dxa" w:w="24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0262B"/>
                <w:sz w:val="19"/>
                <w:szCs w:val="19"/>
              </w:rPr>
              <w:t xml:space="preserve">Centro di riabilitazione; «Ospedale» o «Ospedale specializzato» dove la struttura è un ospedale (Villa Pineta, Villa dei Pini Civitanova, Venerabile Marcucci)</w:t>
            </w:r>
          </w:p>
        </w:tc>
        <w:tc>
          <w:tcPr>
            <w:tcW w:type="dxa" w:w="2938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0262B"/>
                <w:sz w:val="19"/>
                <w:szCs w:val="19"/>
              </w:rPr>
              <w:t xml:space="preserve">Clinica di fisioterapia, se c'è un ambulatorio; Clinica per la salute mentale, se c'è un reparto psichiatrico; Centro diagnostico, se aperto al pubblico</w:t>
            </w:r>
          </w:p>
        </w:tc>
        <w:tc>
          <w:tcPr>
            <w:tcW w:type="dxa" w:w="26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0262B"/>
                <w:sz w:val="19"/>
                <w:szCs w:val="19"/>
              </w:rPr>
              <w:t xml:space="preserve">Fisiatra, Fisioterapista</w:t>
            </w:r>
          </w:p>
        </w:tc>
      </w:tr>
      <w:tr>
        <w:trPr>
          <w:cantSplit/>
          <w:tblHeader w:val="false"/>
        </w:trPr>
        <w:tc>
          <w:tcPr>
            <w:tcW w:type="dxa" w:w="17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0262B"/>
                <w:sz w:val="19"/>
                <w:szCs w:val="19"/>
              </w:rPr>
              <w:t xml:space="preserve">Centri ambulatoriali Santo Stefano</w:t>
            </w:r>
          </w:p>
        </w:tc>
        <w:tc>
          <w:tcPr>
            <w:tcW w:type="dxa" w:w="24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0262B"/>
                <w:sz w:val="19"/>
                <w:szCs w:val="19"/>
              </w:rPr>
              <w:t xml:space="preserve">Centro di riabilitazione (oggi «Centro medico» su 10 schede)</w:t>
            </w:r>
          </w:p>
        </w:tc>
        <w:tc>
          <w:tcPr>
            <w:tcW w:type="dxa" w:w="2938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0262B"/>
                <w:sz w:val="19"/>
                <w:szCs w:val="19"/>
              </w:rPr>
              <w:t xml:space="preserve">Clinica di fisioterapia</w:t>
            </w:r>
          </w:p>
        </w:tc>
        <w:tc>
          <w:tcPr>
            <w:tcW w:type="dxa" w:w="26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0262B"/>
                <w:sz w:val="19"/>
                <w:szCs w:val="19"/>
              </w:rPr>
              <w:t xml:space="preserve">Pediatra, Psicologo, Logopedista, Audiologo, Centro anziani</w:t>
            </w:r>
          </w:p>
        </w:tc>
      </w:tr>
      <w:tr>
        <w:trPr>
          <w:cantSplit/>
          <w:tblHeader w:val="false"/>
        </w:trPr>
        <w:tc>
          <w:tcPr>
            <w:tcW w:type="dxa" w:w="17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0262B"/>
                <w:sz w:val="19"/>
                <w:szCs w:val="19"/>
              </w:rPr>
              <w:t xml:space="preserve">Cliniche psichiatriche</w:t>
            </w:r>
          </w:p>
        </w:tc>
        <w:tc>
          <w:tcPr>
            <w:tcW w:type="dxa" w:w="24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0262B"/>
                <w:sz w:val="19"/>
                <w:szCs w:val="19"/>
              </w:rPr>
              <w:t xml:space="preserve">Clinica per la salute mentale (già su 7 schede su 9)</w:t>
            </w:r>
          </w:p>
        </w:tc>
        <w:tc>
          <w:tcPr>
            <w:tcW w:type="dxa" w:w="2938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0262B"/>
                <w:sz w:val="19"/>
                <w:szCs w:val="19"/>
              </w:rPr>
              <w:t xml:space="preserve">Nessuna, salvo servizi aperti al pubblico</w:t>
            </w:r>
          </w:p>
        </w:tc>
        <w:tc>
          <w:tcPr>
            <w:tcW w:type="dxa" w:w="26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0262B"/>
                <w:sz w:val="19"/>
                <w:szCs w:val="19"/>
              </w:rPr>
              <w:t xml:space="preserve">Psichiatra</w:t>
            </w:r>
          </w:p>
        </w:tc>
      </w:tr>
      <w:tr>
        <w:trPr>
          <w:cantSplit/>
          <w:tblHeader w:val="false"/>
        </w:trPr>
        <w:tc>
          <w:tcPr>
            <w:tcW w:type="dxa" w:w="17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0262B"/>
                <w:sz w:val="19"/>
                <w:szCs w:val="19"/>
              </w:rPr>
              <w:t xml:space="preserve">Comunità terapeutiche psichiatriche e per minori</w:t>
            </w:r>
          </w:p>
        </w:tc>
        <w:tc>
          <w:tcPr>
            <w:tcW w:type="dxa" w:w="24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0262B"/>
                <w:sz w:val="19"/>
                <w:szCs w:val="19"/>
              </w:rPr>
              <w:t xml:space="preserve">Servizio di salute mentale (oggi «Psichiatra» su 10 schede)</w:t>
            </w:r>
          </w:p>
        </w:tc>
        <w:tc>
          <w:tcPr>
            <w:tcW w:type="dxa" w:w="2938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0262B"/>
                <w:sz w:val="19"/>
                <w:szCs w:val="19"/>
              </w:rPr>
              <w:t xml:space="preserve">Nessuna</w:t>
            </w:r>
          </w:p>
        </w:tc>
        <w:tc>
          <w:tcPr>
            <w:tcW w:type="dxa" w:w="26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0262B"/>
                <w:sz w:val="19"/>
                <w:szCs w:val="19"/>
              </w:rPr>
              <w:t xml:space="preserve">Psichiatra</w:t>
            </w:r>
          </w:p>
        </w:tc>
      </w:tr>
      <w:tr>
        <w:trPr>
          <w:cantSplit/>
          <w:tblHeader w:val="false"/>
        </w:trPr>
        <w:tc>
          <w:tcPr>
            <w:tcW w:type="dxa" w:w="17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0262B"/>
                <w:sz w:val="19"/>
                <w:szCs w:val="19"/>
              </w:rPr>
              <w:t xml:space="preserve">Poliambulatori</w:t>
            </w:r>
          </w:p>
        </w:tc>
        <w:tc>
          <w:tcPr>
            <w:tcW w:type="dxa" w:w="24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0262B"/>
                <w:sz w:val="19"/>
                <w:szCs w:val="19"/>
              </w:rPr>
              <w:t xml:space="preserve">Centro medico (oggi su 2; altre principali: Ospedale, Laboratorio medico, Clinica medica)</w:t>
            </w:r>
          </w:p>
        </w:tc>
        <w:tc>
          <w:tcPr>
            <w:tcW w:type="dxa" w:w="2938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0262B"/>
                <w:sz w:val="19"/>
                <w:szCs w:val="19"/>
              </w:rPr>
              <w:t xml:space="preserve">Centro diagnostico, Laboratorio medico, Clinica di fisioterapia, se il servizio c'è</w:t>
            </w:r>
          </w:p>
        </w:tc>
        <w:tc>
          <w:tcPr>
            <w:tcW w:type="dxa" w:w="26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0262B"/>
                <w:sz w:val="19"/>
                <w:szCs w:val="19"/>
              </w:rPr>
              <w:t xml:space="preserve">Banca del sangue, Automazione e robotica</w:t>
            </w:r>
          </w:p>
        </w:tc>
      </w:tr>
      <w:tr>
        <w:trPr>
          <w:cantSplit/>
          <w:tblHeader w:val="false"/>
        </w:trPr>
        <w:tc>
          <w:tcPr>
            <w:tcW w:type="dxa" w:w="17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0262B"/>
                <w:sz w:val="19"/>
                <w:szCs w:val="19"/>
              </w:rPr>
              <w:t xml:space="preserve">Punti prelievo e laboratori</w:t>
            </w:r>
          </w:p>
        </w:tc>
        <w:tc>
          <w:tcPr>
            <w:tcW w:type="dxa" w:w="24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0262B"/>
                <w:sz w:val="19"/>
                <w:szCs w:val="19"/>
              </w:rPr>
              <w:t xml:space="preserve">Laboratorio medico</w:t>
            </w:r>
          </w:p>
        </w:tc>
        <w:tc>
          <w:tcPr>
            <w:tcW w:type="dxa" w:w="2938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0262B"/>
                <w:sz w:val="19"/>
                <w:szCs w:val="19"/>
              </w:rPr>
              <w:t xml:space="preserve">Servizio di analisi del sangue</w:t>
            </w:r>
          </w:p>
        </w:tc>
        <w:tc>
          <w:tcPr>
            <w:tcW w:type="dxa" w:w="26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0262B"/>
                <w:sz w:val="19"/>
                <w:szCs w:val="19"/>
              </w:rPr>
              <w:t xml:space="preserve">Banca del sangue</w:t>
            </w:r>
          </w:p>
        </w:tc>
      </w:tr>
      <w:tr>
        <w:trPr>
          <w:cantSplit/>
          <w:tblHeader w:val="false"/>
        </w:trPr>
        <w:tc>
          <w:tcPr>
            <w:tcW w:type="dxa" w:w="17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0262B"/>
                <w:sz w:val="19"/>
                <w:szCs w:val="19"/>
              </w:rPr>
              <w:t xml:space="preserve">Diagnostica per immagini</w:t>
            </w:r>
          </w:p>
        </w:tc>
        <w:tc>
          <w:tcPr>
            <w:tcW w:type="dxa" w:w="24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0262B"/>
                <w:sz w:val="19"/>
                <w:szCs w:val="19"/>
              </w:rPr>
              <w:t xml:space="preserve">Centro di diagnostica per immagini o Centro diagnostico</w:t>
            </w:r>
          </w:p>
        </w:tc>
        <w:tc>
          <w:tcPr>
            <w:tcW w:type="dxa" w:w="2938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0262B"/>
                <w:sz w:val="19"/>
                <w:szCs w:val="19"/>
              </w:rPr>
              <w:t xml:space="preserve">Laboratorio di radiologia</w:t>
            </w:r>
          </w:p>
        </w:tc>
        <w:tc>
          <w:tcPr>
            <w:tcW w:type="dxa" w:w="26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0262B"/>
                <w:sz w:val="19"/>
                <w:szCs w:val="19"/>
              </w:rPr>
              <w:t xml:space="preserve">—</w:t>
            </w:r>
          </w:p>
        </w:tc>
      </w:tr>
      <w:tr>
        <w:trPr>
          <w:cantSplit/>
          <w:tblHeader w:val="false"/>
        </w:trPr>
        <w:tc>
          <w:tcPr>
            <w:tcW w:type="dxa" w:w="17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0262B"/>
                <w:sz w:val="19"/>
                <w:szCs w:val="19"/>
              </w:rPr>
              <w:t xml:space="preserve">Cliniche dentali</w:t>
            </w:r>
          </w:p>
        </w:tc>
        <w:tc>
          <w:tcPr>
            <w:tcW w:type="dxa" w:w="24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0262B"/>
                <w:sz w:val="19"/>
                <w:szCs w:val="19"/>
              </w:rPr>
              <w:t xml:space="preserve">Clinica dentale</w:t>
            </w:r>
          </w:p>
        </w:tc>
        <w:tc>
          <w:tcPr>
            <w:tcW w:type="dxa" w:w="2938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0262B"/>
                <w:sz w:val="19"/>
                <w:szCs w:val="19"/>
              </w:rPr>
              <w:t xml:space="preserve">Dentista, Ortodontista, Endodontista solo se la specialità è erogata</w:t>
            </w:r>
          </w:p>
        </w:tc>
        <w:tc>
          <w:tcPr>
            <w:tcW w:type="dxa" w:w="26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0262B"/>
                <w:sz w:val="19"/>
                <w:szCs w:val="19"/>
              </w:rPr>
              <w:t xml:space="preserve">—</w:t>
            </w:r>
          </w:p>
        </w:tc>
      </w:tr>
      <w:tr>
        <w:trPr>
          <w:cantSplit/>
          <w:tblHeader w:val="false"/>
        </w:trPr>
        <w:tc>
          <w:tcPr>
            <w:tcW w:type="dxa" w:w="17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0262B"/>
                <w:sz w:val="19"/>
                <w:szCs w:val="19"/>
              </w:rPr>
              <w:t xml:space="preserve">Medicina dello sport (Myolab, Fidia)</w:t>
            </w:r>
          </w:p>
        </w:tc>
        <w:tc>
          <w:tcPr>
            <w:tcW w:type="dxa" w:w="24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0262B"/>
                <w:sz w:val="19"/>
                <w:szCs w:val="19"/>
              </w:rPr>
              <w:t xml:space="preserve">Clinica di medicina dello sport</w:t>
            </w:r>
          </w:p>
        </w:tc>
        <w:tc>
          <w:tcPr>
            <w:tcW w:type="dxa" w:w="2938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0262B"/>
                <w:sz w:val="19"/>
                <w:szCs w:val="19"/>
              </w:rPr>
              <w:t xml:space="preserve">Clinica di fisioterapia</w:t>
            </w:r>
          </w:p>
        </w:tc>
        <w:tc>
          <w:tcPr>
            <w:tcW w:type="dxa" w:w="26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0262B"/>
                <w:sz w:val="19"/>
                <w:szCs w:val="19"/>
              </w:rPr>
              <w:t xml:space="preserve">Sala biliardi, Pediatra</w:t>
            </w:r>
          </w:p>
        </w:tc>
      </w:tr>
      <w:tr>
        <w:trPr>
          <w:cantSplit/>
          <w:tblHeader w:val="false"/>
        </w:trPr>
        <w:tc>
          <w:tcPr>
            <w:tcW w:type="dxa" w:w="17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0262B"/>
                <w:sz w:val="19"/>
                <w:szCs w:val="19"/>
              </w:rPr>
              <w:t xml:space="preserve">Hospice</w:t>
            </w:r>
          </w:p>
        </w:tc>
        <w:tc>
          <w:tcPr>
            <w:tcW w:type="dxa" w:w="24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0262B"/>
                <w:sz w:val="19"/>
                <w:szCs w:val="19"/>
              </w:rPr>
              <w:t xml:space="preserve">Da decidere per codice con RetailTune: in italiano non c'è una categoria per l'hospice come struttura</w:t>
            </w:r>
          </w:p>
        </w:tc>
        <w:tc>
          <w:tcPr>
            <w:tcW w:type="dxa" w:w="2938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0262B"/>
                <w:sz w:val="19"/>
                <w:szCs w:val="19"/>
              </w:rPr>
              <w:t xml:space="preserve">—</w:t>
            </w:r>
          </w:p>
        </w:tc>
        <w:tc>
          <w:tcPr>
            <w:tcW w:type="dxa" w:w="26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0262B"/>
                <w:sz w:val="19"/>
                <w:szCs w:val="19"/>
              </w:rPr>
              <w:t xml:space="preserve">Casa di riposo, Ospedale come principale</w:t>
            </w:r>
          </w:p>
        </w:tc>
      </w:tr>
    </w:tbl>
    <w:p>
      <w:pPr>
        <w:spacing w:after="60"/>
      </w:pPr>
    </w:p>
    <w:p>
      <w:pPr>
        <w:spacing w:after="120" w:before="0" w:line="290"/>
        <w:jc w:val="both"/>
      </w:pPr>
      <w:r>
        <w:rPr>
          <w:rFonts w:ascii="Arial" w:cs="Arial" w:eastAsia="Arial" w:hAnsi="Arial"/>
          <w:color w:val="20262B"/>
          <w:sz w:val="21"/>
          <w:szCs w:val="21"/>
        </w:rPr>
        <w:t xml:space="preserve">Le categorie per professionista come «Psichiatra», «Pediatra» e «Fisiatra» descrivono un singolo medico. Sulla scheda di una struttura fanno classificare l'intera sede come studio medico, e la allontanano dalle ricerche per tipo di struttura.</w:t>
      </w:r>
    </w:p>
    <w:p>
      <w:pPr>
        <w:keepNext/>
        <w:pBdr>
          <w:bottom w:val="single" w:color="B8C7CC" w:sz="6" w:space="4"/>
        </w:pBdr>
        <w:spacing w:after="140" w:before="300"/>
      </w:pPr>
      <w:r>
        <w:rPr>
          <w:rFonts w:ascii="Arial" w:cs="Arial" w:eastAsia="Arial" w:hAnsi="Arial"/>
          <w:b/>
          <w:bCs/>
          <w:color w:val="1F5C6E"/>
          <w:sz w:val="28"/>
          <w:szCs w:val="28"/>
        </w:rPr>
        <w:t xml:space="preserve">5. Cosa chiediamo</w:t>
      </w:r>
    </w:p>
    <w:p>
      <w:pPr>
        <w:pStyle w:val="ListParagraph"/>
        <w:numPr>
          <w:ilvl w:val="0"/>
          <w:numId w:val="2"/>
        </w:numPr>
        <w:spacing w:after="70" w:line="290"/>
        <w:jc w:val="both"/>
      </w:pPr>
      <w:r>
        <w:rPr>
          <w:rFonts w:ascii="Arial" w:cs="Arial" w:eastAsia="Arial" w:hAnsi="Arial"/>
          <w:b/>
          <w:bCs/>
          <w:color w:val="20262B"/>
          <w:sz w:val="21"/>
          <w:szCs w:val="21"/>
        </w:rPr>
        <w:t xml:space="preserve">A KOS:</w:t>
      </w:r>
      <w:r>
        <w:rPr>
          <w:rFonts w:ascii="Arial" w:cs="Arial" w:eastAsia="Arial" w:hAnsi="Arial"/>
          <w:color w:val="20262B"/>
          <w:sz w:val="21"/>
          <w:szCs w:val="21"/>
        </w:rPr>
        <w:t xml:space="preserve"> conferma delle regole delle sezioni 2 e 3, e dei valori UTM.</w:t>
      </w:r>
    </w:p>
    <w:p>
      <w:pPr>
        <w:pStyle w:val="ListParagraph"/>
        <w:numPr>
          <w:ilvl w:val="0"/>
          <w:numId w:val="2"/>
        </w:numPr>
        <w:spacing w:after="70" w:line="290"/>
        <w:jc w:val="both"/>
      </w:pPr>
      <w:r>
        <w:rPr>
          <w:rFonts w:ascii="Arial" w:cs="Arial" w:eastAsia="Arial" w:hAnsi="Arial"/>
          <w:b/>
          <w:bCs/>
          <w:color w:val="20262B"/>
          <w:sz w:val="21"/>
          <w:szCs w:val="21"/>
        </w:rPr>
        <w:t xml:space="preserve">All'agenzia:</w:t>
      </w:r>
      <w:r>
        <w:rPr>
          <w:rFonts w:ascii="Arial" w:cs="Arial" w:eastAsia="Arial" w:hAnsi="Arial"/>
          <w:color w:val="20262B"/>
          <w:sz w:val="21"/>
          <w:szCs w:val="21"/>
        </w:rPr>
        <w:t xml:space="preserve"> un riscontro sulle categorie della sezione 4 entro la call del 4 novembre, in particolare sui centri ambulatoriali e sulle comunità terapeutiche, dove la proposta cambia la categoria principale.</w:t>
      </w:r>
    </w:p>
    <w:p>
      <w:pPr>
        <w:pStyle w:val="ListParagraph"/>
        <w:numPr>
          <w:ilvl w:val="0"/>
          <w:numId w:val="2"/>
        </w:numPr>
        <w:spacing w:after="70" w:line="290"/>
        <w:jc w:val="both"/>
      </w:pPr>
      <w:r>
        <w:rPr>
          <w:rFonts w:ascii="Arial" w:cs="Arial" w:eastAsia="Arial" w:hAnsi="Arial"/>
          <w:b/>
          <w:bCs/>
          <w:color w:val="20262B"/>
          <w:sz w:val="21"/>
          <w:szCs w:val="21"/>
        </w:rPr>
        <w:t xml:space="preserve">A RetailTune:</w:t>
      </w:r>
      <w:r>
        <w:rPr>
          <w:rFonts w:ascii="Arial" w:cs="Arial" w:eastAsia="Arial" w:hAnsi="Arial"/>
          <w:color w:val="20262B"/>
          <w:sz w:val="21"/>
          <w:szCs w:val="21"/>
        </w:rPr>
        <w:t xml:space="preserve"> i codici di tutte le categorie indicate, prima dell'import.</w:t>
      </w:r>
    </w:p>
    <w:sectPr>
      <w:headerReference w:type="default" r:id="rId7"/>
      <w:footerReference w:type="default" r:id="rId8"/>
      <w:pgSz w:w="11906" w:h="16838" w:orient="portrait"/>
      <w:pgMar w:top="1300" w:right="1134" w:bottom="1134" w:left="1134" w:header="560" w:footer="5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color w:val="6B727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rFonts w:ascii="Arial" w:cs="Arial" w:eastAsia="Arial" w:hAnsi="Arial"/>
        <w:color w:val="6B7278"/>
        <w:sz w:val="15"/>
        <w:szCs w:val="15"/>
      </w:rPr>
      <w:t xml:space="preserve">Documento riservato - destinato a Gruppo KOS e Cerved/ProWeb.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20262B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x9io8tvyg5xpsqgxxbukp" Type="http://schemas.openxmlformats.org/officeDocument/2006/relationships/hyperlink" Target="https://support.google.com/business/answer/3038177" TargetMode="External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Schede Google: nomi, siti e categorie nel passaggio a RetailTune</dc:title>
  <dc:creator>Danilo Bernabeo</dc:creator>
  <cp:lastModifiedBy>Un-named</cp:lastModifiedBy>
  <cp:revision>1</cp:revision>
  <dcterms:created xsi:type="dcterms:W3CDTF">2026-10-31T07:13:23.664Z</dcterms:created>
  <dcterms:modified xsi:type="dcterms:W3CDTF">2026-10-31T07:13:23.665Z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