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Esecuzione del 30/10 (9:35, prima dell'invio): stessi residui; nuovo KO su Residenza San Lorenzo (risorsa 64) senza JSON-LD: cache della pagina scritta alle 03:06:49, due secondi dopo lo svuotamento della cache del rilascio extra aa-news-muba, con l'uscita di</w:t>
      </w:r>
      <w:r>
        <w:t xml:space="preserve"> </w:t>
      </w:r>
      <w:r>
        <w:rPr>
          <w:rStyle w:val="VerbatimChar"/>
        </w:rPr>
        <w:t xml:space="preserve">aaSchema</w:t>
      </w:r>
      <w:r>
        <w:t xml:space="preserve"> </w:t>
      </w:r>
      <w:r>
        <w:t xml:space="preserve">vuota (snippet corretto se eseguito:</w:t>
      </w:r>
      <w:r>
        <w:t xml:space="preserve"> </w:t>
      </w:r>
      <w:r>
        <w:rPr>
          <w:rStyle w:val="VerbatimChar"/>
        </w:rPr>
        <w:t xml:space="preserve">scripts/checks/aa-schema-risorsa.php</w:t>
      </w:r>
      <w:r>
        <w:t xml:space="preserve">). Cancellato il file di cache della risorsa, pagina verificata con un solo</w:t>
      </w:r>
      <w:r>
        <w:t xml:space="preserve"> </w:t>
      </w:r>
      <w:r>
        <w:rPr>
          <w:rStyle w:val="VerbatimChar"/>
        </w:rPr>
        <w:t xml:space="preserve">@graph</w:t>
      </w:r>
      <w:r>
        <w:t xml:space="preserve"> </w:t>
      </w:r>
      <w:r>
        <w:t xml:space="preserve">e briciole uguali a quelle visibili. Da fare: controllo delle pagine in cache senza JSON-LD alla fine di ogni installer che svuota la cache. Tolto lo stesso giorno anche il secondo blocco dell'approfondimento KOS «Salute mentale…»: era la TV</w:t>
      </w:r>
      <w:r>
        <w:t xml:space="preserve"> </w:t>
      </w:r>
      <w:r>
        <w:rPr>
          <w:rStyle w:val="VerbatimChar"/>
        </w:rPr>
        <w:t xml:space="preserve">schemaJsonLd</w:t>
      </w:r>
      <w:r>
        <w:t xml:space="preserve"> </w:t>
      </w:r>
      <w:r>
        <w:t xml:space="preserve">del template</w:t>
      </w:r>
      <w:r>
        <w:t xml:space="preserve"> </w:t>
      </w:r>
      <w:r>
        <w:rPr>
          <w:rStyle w:val="VerbatimChar"/>
        </w:rPr>
        <w:t xml:space="preserve">informativo</w:t>
      </w:r>
      <w:r>
        <w:t xml:space="preserve"> </w:t>
      </w:r>
      <w:r>
        <w:t xml:space="preserve">(stampata tra</w:t>
      </w:r>
      <w:r>
        <w:t xml:space="preserve"> </w:t>
      </w:r>
      <w:r>
        <w:rPr>
          <w:rStyle w:val="VerbatimChar"/>
        </w:rPr>
        <w:t xml:space="preserve">&lt;/head&gt;</w:t>
      </w:r>
      <w:r>
        <w:t xml:space="preserve"> </w:t>
      </w:r>
      <w:r>
        <w:t xml:space="preserve">e</w:t>
      </w:r>
      <w:r>
        <w:t xml:space="preserve"> </w:t>
      </w:r>
      <w:r>
        <w:rPr>
          <w:rStyle w:val="VerbatimChar"/>
        </w:rPr>
        <w:t xml:space="preserve">&lt;body&gt;</w:t>
      </w:r>
      <w:r>
        <w:t xml:space="preserve">), svuotata da Danilo; ora un solo</w:t>
      </w:r>
      <w:r>
        <w:t xml:space="preserve"> </w:t>
      </w:r>
      <w:r>
        <w:rPr>
          <w:rStyle w:val="VerbatimChar"/>
        </w:rPr>
        <w:t xml:space="preserve">@graph</w:t>
      </w:r>
      <w:r>
        <w:t xml:space="preserve">. Nel consolidamento degli head KOS: togliere</w:t>
      </w:r>
      <w:r>
        <w:t xml:space="preserve"> </w:t>
      </w:r>
      <w:r>
        <w:rPr>
          <w:rStyle w:val="VerbatimChar"/>
        </w:rPr>
        <w:t xml:space="preserve">[[*schemaJsonLd]]</w:t>
      </w:r>
      <w:r>
        <w:t xml:space="preserve"> </w:t>
      </w:r>
      <w:r>
        <w:t xml:space="preserve">dal template e portare l'eventuale FAQPage nella libreria comune come nodo di pagina. Corretti anche i doppi H1: evento KOS «La gestione della persona con demenza» (H1 del contenuto portato a H2, stessa classe); i 7 convegni AA erano falsi positivi (H1 commentato nel template</w:t>
      </w:r>
      <w:r>
        <w:t xml:space="preserve"> </w:t>
      </w:r>
      <w:r>
        <w:rPr>
          <w:rStyle w:val="VerbatimChar"/>
        </w:rPr>
        <w:t xml:space="preserve">interna-menu-form-registrazione</w:t>
      </w:r>
      <w:r>
        <w:t xml:space="preserve">, ignorato dai motori): commento tolto con il pacchetto</w:t>
      </w:r>
      <w:r>
        <w:t xml:space="preserve"> </w:t>
      </w:r>
      <w:r>
        <w:rPr>
          <w:rStyle w:val="VerbatimChar"/>
        </w:rPr>
        <w:t xml:space="preserve">aa-18-commenti</w:t>
      </w:r>
      <w:r>
        <w:t xml:space="preserve"> </w:t>
      </w:r>
      <w:r>
        <w:t xml:space="preserve">(produzione 30/10, backup</w:t>
      </w:r>
      <w:r>
        <w:t xml:space="preserve"> </w:t>
      </w:r>
      <w:r>
        <w:rPr>
          <w:rStyle w:val="VerbatimChar"/>
        </w:rPr>
        <w:t xml:space="preserve">20261030-052126</w:t>
      </w:r>
      <w:r>
        <w:t xml:space="preserve">) e script di verifica corretto (H1 e canonical contati senza i commenti HTML). Verifica completa rilanciata dopo il rilascio.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w:t>
      </w:r>
      <w:r>
        <w:t xml:space="preserve"> </w:t>
      </w:r>
      <w:r>
        <w:rPr>
          <w:bCs/>
          <w:b/>
        </w:rPr>
        <w:t xml:space="preserve">Deciso il 29/10</w:t>
      </w:r>
      <w:r>
        <w:t xml:space="preserve"> </w:t>
      </w:r>
      <w:r>
        <w:t xml:space="preserve">(vedi sotto):</w:t>
      </w:r>
      <w:r>
        <w:t xml:space="preserve"> </w:t>
      </w:r>
      <w:r>
        <w:rPr>
          <w:rStyle w:val="VerbatimChar"/>
        </w:rPr>
        <w:t xml:space="preserve">["MedicalBusiness", "MedicalOrganization"]</w:t>
      </w:r>
      <w:r>
        <w:t xml:space="preserve"> </w:t>
      </w:r>
      <w:r>
        <w:t xml:space="preserve">con</w:t>
      </w:r>
      <w:r>
        <w:t xml:space="preserve"> </w:t>
      </w:r>
      <w:r>
        <w:rPr>
          <w:rStyle w:val="VerbatimChar"/>
        </w:rPr>
        <w:t xml:space="preserve">Geriatric</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0d15b5592aba5ce8b0bf2808b8165a594bae851"/>
    <w:p>
      <w:pPr>
        <w:pStyle w:val="Heading2"/>
      </w:pPr>
      <w:r>
        <w:t xml:space="preserve">Decisioni dall'analisi multi-sede (29/10, chat «Grafo dati strutturati KOS»)</w:t>
      </w:r>
    </w:p>
    <w:p>
      <w:pPr>
        <w:pStyle w:val="FirstParagraph"/>
      </w:pPr>
      <w:r>
        <w:t xml:space="preserve">La gestione strategica resta in questo progetto; la chat «Grafo dati strutturati KOS» è operativa per lo stadio 7</w:t>
      </w:r>
      <w:r>
        <w:t xml:space="preserve"> </w:t>
      </w:r>
      <w:r>
        <w:t xml:space="preserve">(schede Google) e la sua specifica rimanda a</w:t>
      </w:r>
      <w:r>
        <w:t xml:space="preserve"> </w:t>
      </w:r>
      <w:r>
        <w:rPr>
          <w:rStyle w:val="VerbatimChar"/>
        </w:rPr>
        <w:t xml:space="preserve">docs/kos-24.md</w:t>
      </w:r>
      <w:r>
        <w:t xml:space="preserve"> </w:t>
      </w:r>
      <w:r>
        <w:t xml:space="preserve">e alle convenzioni del</w:t>
      </w:r>
      <w:r>
        <w:t xml:space="preserve"> </w:t>
      </w:r>
      <w:r>
        <w:rPr>
          <w:rStyle w:val="VerbatimChar"/>
        </w:rPr>
        <w:t xml:space="preserve">CLAUDE.md</w:t>
      </w:r>
      <w:r>
        <w:t xml:space="preserve"> </w:t>
      </w:r>
      <w:r>
        <w:t xml:space="preserve">per il dato</w:t>
      </w:r>
      <w:r>
        <w:t xml:space="preserve"> </w:t>
      </w:r>
      <w:r>
        <w:t xml:space="preserve">strutturato, senza ridefinirlo. Le scelte di modellazione le decide il progetto in base a schema.org e Google; quando la</w:t>
      </w:r>
      <w:r>
        <w:t xml:space="preserve"> </w:t>
      </w:r>
      <w:r>
        <w:t xml:space="preserve">forma differisce dall'esempio dell'audit, la nota di consegna lo motiva in una riga con la fonte.</w:t>
      </w:r>
    </w:p>
    <w:p>
      <w:pPr>
        <w:pStyle w:val="BodyText"/>
      </w:pPr>
      <w:r>
        <w:t xml:space="preserve">Decise, nel perimetro:</w:t>
      </w:r>
    </w:p>
    <w:p>
      <w:pPr>
        <w:numPr>
          <w:ilvl w:val="0"/>
          <w:numId w:val="1010"/>
        </w:numPr>
        <w:pStyle w:val="Compact"/>
      </w:pPr>
      <w:r>
        <w:rPr>
          <w:bCs/>
          <w:b/>
        </w:rPr>
        <w:t xml:space="preserve">Valore del grafo</w:t>
      </w:r>
      <w:r>
        <w:t xml:space="preserve"> </w:t>
      </w:r>
      <w:r>
        <w:t xml:space="preserve">(posizione verso KOS e agenzia): il dato strutturato non serve a comparire nelle risposte AI di</w:t>
      </w:r>
      <w:r>
        <w:t xml:space="preserve"> </w:t>
      </w:r>
      <w:r>
        <w:t xml:space="preserve">Google (guida Google del 16/09/2026); serve ai risultati arricchiti e al pannello informativo (documentato), alla</w:t>
      </w:r>
      <w:r>
        <w:t xml:space="preserve"> </w:t>
      </w:r>
      <w:r>
        <w:t xml:space="preserve">coerenza tra sito, schede Google e directory e alla qualità dei dati (verificabile da noi). Plausibile ma non</w:t>
      </w:r>
      <w:r>
        <w:t xml:space="preserve"> </w:t>
      </w:r>
      <w:r>
        <w:t xml:space="preserve">dimostrato per gli altri motori AI; da non promettere: presenza in AI Overview «grazie allo schema», percentuali di</w:t>
      </w:r>
      <w:r>
        <w:t xml:space="preserve"> </w:t>
      </w:r>
      <w:r>
        <w:t xml:space="preserve">traffico AI, punteggi di visibilità AI.</w:t>
      </w:r>
    </w:p>
    <w:p>
      <w:pPr>
        <w:numPr>
          <w:ilvl w:val="0"/>
          <w:numId w:val="1010"/>
        </w:numPr>
        <w:pStyle w:val="Compact"/>
      </w:pPr>
      <w:r>
        <w:rPr>
          <w:bCs/>
          <w:b/>
        </w:rPr>
        <w:t xml:space="preserve">Residenze AA (sprint 3)</w:t>
      </w:r>
      <w:r>
        <w:t xml:space="preserve">:</w:t>
      </w:r>
      <w:r>
        <w:t xml:space="preserve"> </w:t>
      </w:r>
      <w:r>
        <w:rPr>
          <w:rStyle w:val="VerbatimChar"/>
        </w:rPr>
        <w:t xml:space="preserve">["MedicalBusiness", "MedicalOrganization"]</w:t>
      </w:r>
      <w:r>
        <w:t xml:space="preserve"> </w:t>
      </w:r>
      <w:r>
        <w:t xml:space="preserve">con</w:t>
      </w:r>
      <w:r>
        <w:t xml:space="preserve"> </w:t>
      </w:r>
      <w:r>
        <w:rPr>
          <w:rStyle w:val="VerbatimChar"/>
        </w:rPr>
        <w:t xml:space="preserve">medicalSpecialty</w:t>
      </w:r>
      <w:r>
        <w:t xml:space="preserve"> </w:t>
      </w:r>
      <w:r>
        <w:rPr>
          <w:rStyle w:val="VerbatimChar"/>
        </w:rPr>
        <w:t xml:space="preserve">Geriatric</w:t>
      </w:r>
      <w:r>
        <w:t xml:space="preserve">;</w:t>
      </w:r>
      <w:r>
        <w:t xml:space="preserve"> </w:t>
      </w:r>
      <w:r>
        <w:rPr>
          <w:rStyle w:val="VerbatimChar"/>
        </w:rPr>
        <w:t xml:space="preserve">LocalBusiness</w:t>
      </w:r>
      <w:r>
        <w:t xml:space="preserve"> </w:t>
      </w:r>
      <w:r>
        <w:t xml:space="preserve">solo per unità socio-assistenziali pure (alloggi protetti, casa di riposo). Verifica del 29/10</w:t>
      </w:r>
      <w:r>
        <w:t xml:space="preserve"> </w:t>
      </w:r>
      <w:r>
        <w:t xml:space="preserve">sulle carte dei servizi (</w:t>
      </w:r>
      <w:r>
        <w:rPr>
          <w:rStyle w:val="VerbatimChar"/>
        </w:rPr>
        <w:t xml:space="preserve">scripts/checks/aa-carte-servizi.php</w:t>
      </w:r>
      <w:r>
        <w:t xml:space="preserve">, tabella in</w:t>
      </w:r>
      <w:r>
        <w:t xml:space="preserve"> </w:t>
      </w:r>
      <w:r>
        <w:rPr>
          <w:rStyle w:val="VerbatimChar"/>
        </w:rPr>
        <w:t xml:space="preserve">anniazzurri/dati/accreditamento-residenze-2026-10-29.xlsx</w:t>
      </w:r>
      <w:r>
        <w:t xml:space="preserve">): tutte le 57 residenze aperte sono autorizzate come unità</w:t>
      </w:r>
      <w:r>
        <w:t xml:space="preserve"> </w:t>
      </w:r>
      <w:r>
        <w:t xml:space="preserve">socio-sanitarie (RSA, CRA, Residenza Protetta), quindi il tipo è lo stesso per tutte; l'accreditamento (31 sì,</w:t>
      </w:r>
      <w:r>
        <w:t xml:space="preserve"> </w:t>
      </w:r>
      <w:r>
        <w:t xml:space="preserve">7 parziale, 2 in corso, 1 no, 16 non esplicito nella carta, su 57 pagine) non cambia il tipo. Nota di consegna: l'audit</w:t>
      </w:r>
      <w:r>
        <w:t xml:space="preserve"> </w:t>
      </w:r>
      <w:r>
        <w:t xml:space="preserve">(slide 30) chiede un LocalBusiness, e</w:t>
      </w:r>
      <w:r>
        <w:t xml:space="preserve"> </w:t>
      </w:r>
      <w:r>
        <w:rPr>
          <w:rStyle w:val="VerbatimChar"/>
        </w:rPr>
        <w:t xml:space="preserve">MedicalBusiness</w:t>
      </w:r>
      <w:r>
        <w:t xml:space="preserve"> </w:t>
      </w:r>
      <w:r>
        <w:t xml:space="preserve">lo è.</w:t>
      </w:r>
    </w:p>
    <w:p>
      <w:pPr>
        <w:numPr>
          <w:ilvl w:val="0"/>
          <w:numId w:val="1010"/>
        </w:numPr>
        <w:pStyle w:val="Compact"/>
      </w:pPr>
      <w:r>
        <w:rPr>
          <w:bCs/>
          <w:b/>
        </w:rPr>
        <w:t xml:space="preserve">Servizi senza sede propria</w:t>
      </w:r>
      <w:r>
        <w:t xml:space="preserve"> </w:t>
      </w:r>
      <w:r>
        <w:t xml:space="preserve">(RSA Aperta, assistenza domiciliare, AA sprint 3):</w:t>
      </w:r>
      <w:r>
        <w:t xml:space="preserve"> </w:t>
      </w:r>
      <w:r>
        <w:rPr>
          <w:rStyle w:val="VerbatimChar"/>
        </w:rPr>
        <w:t xml:space="preserve">Service</w:t>
      </w:r>
      <w:r>
        <w:t xml:space="preserve"> </w:t>
      </w:r>
      <w:r>
        <w:t xml:space="preserve">con</w:t>
      </w:r>
      <w:r>
        <w:t xml:space="preserve"> </w:t>
      </w:r>
      <w:r>
        <w:rPr>
          <w:rStyle w:val="VerbatimChar"/>
        </w:rPr>
        <w:t xml:space="preserve">provider</w:t>
      </w:r>
      <w:r>
        <w:t xml:space="preserve"> </w:t>
      </w:r>
      <w:r>
        <w:t xml:space="preserve">verso</w:t>
      </w:r>
      <w:r>
        <w:t xml:space="preserve"> </w:t>
      </w:r>
      <w:r>
        <w:t xml:space="preserve">il</w:t>
      </w:r>
      <w:r>
        <w:t xml:space="preserve"> </w:t>
      </w:r>
      <w:r>
        <w:rPr>
          <w:rStyle w:val="VerbatimChar"/>
        </w:rPr>
        <w:t xml:space="preserve">#localbusiness</w:t>
      </w:r>
      <w:r>
        <w:t xml:space="preserve"> </w:t>
      </w:r>
      <w:r>
        <w:t xml:space="preserve">che li eroga e</w:t>
      </w:r>
      <w:r>
        <w:t xml:space="preserve"> </w:t>
      </w:r>
      <w:r>
        <w:rPr>
          <w:rStyle w:val="VerbatimChar"/>
        </w:rPr>
        <w:t xml:space="preserve">areaServed</w:t>
      </w:r>
      <w:r>
        <w:t xml:space="preserve">; nessun nodo struttura, nessuna scheda Google.</w:t>
      </w:r>
    </w:p>
    <w:p>
      <w:pPr>
        <w:numPr>
          <w:ilvl w:val="0"/>
          <w:numId w:val="1010"/>
        </w:numPr>
        <w:pStyle w:val="Compact"/>
      </w:pPr>
      <w:r>
        <w:rPr>
          <w:bCs/>
          <w:b/>
        </w:rPr>
        <w:t xml:space="preserve">Niente indirizzo, niente nodo struttura</w:t>
      </w:r>
      <w:r>
        <w:t xml:space="preserve">: già nella libreria (25/10), ora scritto nelle convenzioni.</w:t>
      </w:r>
    </w:p>
    <w:p>
      <w:pPr>
        <w:numPr>
          <w:ilvl w:val="0"/>
          <w:numId w:val="1010"/>
        </w:numPr>
        <w:pStyle w:val="Compact"/>
      </w:pPr>
      <w:r>
        <w:rPr>
          <w:bCs/>
          <w:b/>
        </w:rPr>
        <w:t xml:space="preserve">Professionisti KOS (voce 11, sprint 3)</w:t>
      </w:r>
      <w:r>
        <w:t xml:space="preserve">: medici</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altri professionisti</w:t>
      </w:r>
      <w:r>
        <w:t xml:space="preserve"> </w:t>
      </w:r>
      <w:r>
        <w:rPr>
          <w:rStyle w:val="VerbatimChar"/>
        </w:rPr>
        <w:t xml:space="preserve">Person</w:t>
      </w:r>
      <w:r>
        <w:t xml:space="preserve"> </w:t>
      </w:r>
      <w:r>
        <w:t xml:space="preserve">con</w:t>
      </w:r>
      <w:r>
        <w:t xml:space="preserve"> </w:t>
      </w:r>
      <w:r>
        <w:rPr>
          <w:rStyle w:val="VerbatimChar"/>
        </w:rPr>
        <w:t xml:space="preserve">jobTitle</w:t>
      </w:r>
      <w:r>
        <w:t xml:space="preserve"> </w:t>
      </w:r>
      <w:r>
        <w:t xml:space="preserve">e</w:t>
      </w:r>
      <w:r>
        <w:t xml:space="preserve"> </w:t>
      </w:r>
      <w:r>
        <w:rPr>
          <w:rStyle w:val="VerbatimChar"/>
        </w:rPr>
        <w:t xml:space="preserve">worksFor</w:t>
      </w:r>
      <w:r>
        <w:t xml:space="preserve"> </w:t>
      </w:r>
      <w:r>
        <w:t xml:space="preserve">verso</w:t>
      </w:r>
      <w:r>
        <w:t xml:space="preserve"> </w:t>
      </w:r>
      <w:r>
        <w:rPr>
          <w:rStyle w:val="VerbatimChar"/>
        </w:rPr>
        <w:t xml:space="preserve">#localbusiness</w:t>
      </w:r>
      <w:r>
        <w:t xml:space="preserve"> </w:t>
      </w:r>
      <w:r>
        <w:t xml:space="preserve">(corretto dopo la revisione del 29/10:</w:t>
      </w:r>
      <w:r>
        <w:t xml:space="preserve"> </w:t>
      </w:r>
      <w:r>
        <w:rPr>
          <w:rStyle w:val="VerbatimChar"/>
        </w:rPr>
        <w:t xml:space="preserve">practicesAt</w:t>
      </w:r>
      <w:r>
        <w:t xml:space="preserve"> </w:t>
      </w:r>
      <w:r>
        <w:t xml:space="preserve">vale solo per i medici). Nota di consegna: l'esempio dell'audit (slide 27) usa</w:t>
      </w:r>
      <w:r>
        <w:t xml:space="preserve"> </w:t>
      </w:r>
      <w:r>
        <w:rPr>
          <w:rStyle w:val="VerbatimChar"/>
        </w:rPr>
        <w:t xml:space="preserve">Physician</w:t>
      </w:r>
      <w:r>
        <w:t xml:space="preserve"> </w:t>
      </w:r>
      <w:r>
        <w:t xml:space="preserve">con</w:t>
      </w:r>
      <w:r>
        <w:t xml:space="preserve"> </w:t>
      </w:r>
      <w:r>
        <w:rPr>
          <w:rStyle w:val="VerbatimChar"/>
        </w:rPr>
        <w:t xml:space="preserve">worksFor</w:t>
      </w:r>
      <w:r>
        <w:t xml:space="preserve"> </w:t>
      </w:r>
      <w:r>
        <w:t xml:space="preserve">e</w:t>
      </w:r>
      <w:r>
        <w:t xml:space="preserve"> </w:t>
      </w:r>
      <w:r>
        <w:rPr>
          <w:rStyle w:val="VerbatimChar"/>
        </w:rPr>
        <w:t xml:space="preserve">#physician</w:t>
      </w:r>
      <w:r>
        <w:t xml:space="preserve">;</w:t>
      </w:r>
      <w:r>
        <w:t xml:space="preserve"> </w:t>
      </w:r>
      <w:r>
        <w:rPr>
          <w:rStyle w:val="VerbatimChar"/>
        </w:rPr>
        <w:t xml:space="preserve">IndividualPhysician</w:t>
      </w:r>
      <w:r>
        <w:t xml:space="preserve"> </w:t>
      </w:r>
      <w:r>
        <w:t xml:space="preserve">ne è il sottotipo per il singolo medico. Abbinamento alle</w:t>
      </w:r>
      <w:r>
        <w:t xml:space="preserve"> </w:t>
      </w:r>
      <w:r>
        <w:t xml:space="preserve">risorse TuoTempo con il codice del gestionale interno (campo Consumerid di TuoTempo), non con il codice fiscale;</w:t>
      </w:r>
      <w:r>
        <w:t xml:space="preserve"> </w:t>
      </w:r>
      <w:r>
        <w:t xml:space="preserve">widget di prenotazione per medico sulle pagine abbinate. Confronto pagine/risorse del 29/10 in</w:t>
      </w:r>
      <w:r>
        <w:t xml:space="preserve"> </w:t>
      </w:r>
      <w:r>
        <w:rPr>
          <w:rStyle w:val="VerbatimChar"/>
        </w:rPr>
        <w:t xml:space="preserve">kosgroup/dati/medici/</w:t>
      </w:r>
      <w:r>
        <w:t xml:space="preserve"> </w:t>
      </w:r>
      <w:r>
        <w:t xml:space="preserve">(77 abbinate, 13 da confermare, 74 senza risorsa, circa 170 risorse senza pagina).</w:t>
      </w:r>
    </w:p>
    <w:p>
      <w:pPr>
        <w:pStyle w:val="FirstParagraph"/>
      </w:pPr>
      <w:r>
        <w:t xml:space="preserve">Decise, da fare con interventi già previsti:</w:t>
      </w:r>
      <w:r>
        <w:t xml:space="preserve"> </w:t>
      </w:r>
      <w:r>
        <w:t xml:space="preserve">6.</w:t>
      </w:r>
      <w:r>
        <w:t xml:space="preserve"> </w:t>
      </w:r>
      <w:r>
        <w:rPr>
          <w:bCs/>
          <w:b/>
        </w:rPr>
        <w:t xml:space="preserve">UTM sul link delle schede Google</w:t>
      </w:r>
      <w:r>
        <w:t xml:space="preserve">: da proporre a KOS e applicare al cambio di alimentazione delle schede dopo</w:t>
      </w:r>
      <w:r>
        <w:t xml:space="preserve"> </w:t>
      </w:r>
      <w:r>
        <w:t xml:space="preserve">Yext (non prima: oggi le schede le scrive Yext).</w:t>
      </w:r>
      <w:r>
        <w:t xml:space="preserve"> </w:t>
      </w:r>
      <w:r>
        <w:t xml:space="preserve">7.</w:t>
      </w:r>
      <w:r>
        <w:t xml:space="preserve"> </w:t>
      </w:r>
      <w:r>
        <w:rPr>
          <w:bCs/>
          <w:b/>
        </w:rPr>
        <w:t xml:space="preserve">Stato di indicizzazione delle pagine struttura</w:t>
      </w:r>
      <w:r>
        <w:t xml:space="preserve"> </w:t>
      </w:r>
      <w:r>
        <w:t xml:space="preserve">in Search Console: nel controllo del 6/11, dopo l'import della</w:t>
      </w:r>
      <w:r>
        <w:t xml:space="preserve"> </w:t>
      </w:r>
      <w:r>
        <w:t xml:space="preserve">voce 24.</w:t>
      </w:r>
      <w:r>
        <w:t xml:space="preserve"> </w:t>
      </w:r>
      <w:r>
        <w:t xml:space="preserve">8.</w:t>
      </w:r>
      <w:r>
        <w:t xml:space="preserve"> </w:t>
      </w:r>
      <w:r>
        <w:rPr>
          <w:bCs/>
          <w:b/>
        </w:rPr>
        <w:t xml:space="preserve">Categorie Google delle residenze</w:t>
      </w:r>
      <w:r>
        <w:t xml:space="preserve"> </w:t>
      </w:r>
      <w:r>
        <w:t xml:space="preserve">(deciso il 29/10, sostituisce il test PWC su un campione): stessa</w:t>
      </w:r>
      <w:r>
        <w:t xml:space="preserve"> </w:t>
      </w:r>
      <w:r>
        <w:t xml:space="preserve">categoria per tutte le residenze aperte, «Casa di riposo» principale come i concorrenti, aggiuntive solo per servizi</w:t>
      </w:r>
      <w:r>
        <w:t xml:space="preserve"> </w:t>
      </w:r>
      <w:r>
        <w:t xml:space="preserve">reali, via «Geriatra» e «Servizio di salute mentale»; da validare con PWC sui codici delle categorie, dopo la finestra</w:t>
      </w:r>
      <w:r>
        <w:t xml:space="preserve"> </w:t>
      </w:r>
      <w:r>
        <w:t xml:space="preserve">di passaggio Yext → RetailTune e a passi. Dettaglio e misura in</w:t>
      </w:r>
      <w:r>
        <w:t xml:space="preserve"> </w:t>
      </w:r>
      <w:r>
        <w:rPr>
          <w:rStyle w:val="VerbatimChar"/>
        </w:rPr>
        <w:t xml:space="preserve">docs/specifica-grafo-kos.md</w:t>
      </w:r>
      <w:r>
        <w:t xml:space="preserve">.</w:t>
      </w:r>
    </w:p>
    <w:p>
      <w:pPr>
        <w:pStyle w:val="BodyText"/>
      </w:pPr>
      <w:r>
        <w:t xml:space="preserve">Rimandate: registro delle modifiche alle schede Google e specifica dello stadio 7 (quando è deciso chi alimenta le</w:t>
      </w:r>
      <w:r>
        <w:t xml:space="preserve"> </w:t>
      </w:r>
      <w:r>
        <w:t xml:space="preserve">schede dopo Yext); Villa Margherita Vicenza come un nodo con</w:t>
      </w:r>
      <w:r>
        <w:t xml:space="preserve"> </w:t>
      </w:r>
      <w:r>
        <w:rPr>
          <w:rStyle w:val="VerbatimChar"/>
        </w:rPr>
        <w:t xml:space="preserve">department</w:t>
      </w:r>
      <w:r>
        <w:t xml:space="preserve"> </w:t>
      </w:r>
      <w:r>
        <w:t xml:space="preserve">o due nodi collegati (con la voce 24).</w:t>
      </w:r>
      <w:r>
        <w:t xml:space="preserve"> </w:t>
      </w:r>
      <w:r>
        <w:t xml:space="preserve">Non adottate:</w:t>
      </w:r>
      <w:r>
        <w:t xml:space="preserve"> </w:t>
      </w:r>
      <w:r>
        <w:rPr>
          <w:rStyle w:val="VerbatimChar"/>
        </w:rPr>
        <w:t xml:space="preserve">branchCode</w:t>
      </w:r>
      <w:r>
        <w:t xml:space="preserve"> </w:t>
      </w:r>
      <w:r>
        <w:t xml:space="preserve">(finché non c'è un codice sede stabile in un archivio unico).</w:t>
      </w:r>
    </w:p>
    <w:p>
      <w:pPr>
        <w:pStyle w:val="BodyText"/>
      </w:pPr>
      <w:r>
        <w:t xml:space="preserve">Fuori perimetro, da proporre a consuntivo (non nei documenti condivisi): controllo mensile a campione dell'esattezza di</w:t>
      </w:r>
      <w:r>
        <w:t xml:space="preserve"> </w:t>
      </w:r>
      <w:r>
        <w:t xml:space="preserve">nome, indirizzo e telefono delle sedi nelle risposte dei motori AI; censimento delle directory sanitarie (micuro,</w:t>
      </w:r>
      <w:r>
        <w:t xml:space="preserve"> </w:t>
      </w:r>
      <w:r>
        <w:t xml:space="preserve">qsalute, elenchi regionali) e controllo della voce Wikidata del gruppo.</w:t>
      </w:r>
    </w:p>
    <w:bookmarkEnd w:id="32"/>
    <w:bookmarkStart w:id="33" w:name="X6106934d94086303083d981b094913fadf78d77"/>
    <w:p>
      <w:pPr>
        <w:pStyle w:val="Heading2"/>
      </w:pPr>
      <w:r>
        <w:t xml:space="preserve">Preparazione per lo sprint 2 (da avviare nella settimana del 26)</w:t>
      </w:r>
    </w:p>
    <w:p>
      <w:pPr>
        <w:numPr>
          <w:ilvl w:val="0"/>
          <w:numId w:val="1011"/>
        </w:numPr>
        <w:pStyle w:val="Compact"/>
      </w:pPr>
      <w:r>
        <w:t xml:space="preserve">Script di import dei dati anagrafici dall'export Yext corretto nelle TV dei due siti (import 2-6 novembre), con report delle differenze su KOS.</w:t>
      </w:r>
    </w:p>
    <w:p>
      <w:pPr>
        <w:numPr>
          <w:ilvl w:val="0"/>
          <w:numId w:val="1011"/>
        </w:numPr>
        <w:pStyle w:val="Compact"/>
      </w:pPr>
      <w:r>
        <w:t xml:space="preserve">Creazione delle TV anagrafiche su AA.</w:t>
      </w:r>
    </w:p>
    <w:p>
      <w:pPr>
        <w:numPr>
          <w:ilvl w:val="0"/>
          <w:numId w:val="1011"/>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1"/>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1"/>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2026-10-30T10:22:00Z</dcterms:created>
  <dcterms:modified xsi:type="dcterms:W3CDTF">2026-10-30T10:22:00Z</dcterms:modified>
</cp:coreProperties>
</file>

<file path=docProps/custom.xml><?xml version="1.0" encoding="utf-8"?>
<Properties xmlns="http://schemas.openxmlformats.org/officeDocument/2006/custom-properties" xmlns:vt="http://schemas.openxmlformats.org/officeDocument/2006/docPropsVTypes"/>
</file>