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Nome secondo la lingua della pagina: «Gruppo KOS» sulle pagine</w:t>
      </w:r>
      <w:r>
        <w:t xml:space="preserve"> </w:t>
      </w:r>
      <w:r>
        <w:t xml:space="preserve">italiane (alternateName «KOS Group»), «KOS Group» su quelle inglesi (alternateName «Gruppo KOS»), con lo</w:t>
      </w:r>
      <w:r>
        <w:t xml:space="preserve"> </w:t>
      </w:r>
      <w:r>
        <w:t xml:space="preserve">stesso</w:t>
      </w:r>
      <w:r>
        <w:t xml:space="preserve"> </w:t>
      </w:r>
      <w:r>
        <w:rPr>
          <w:rStyle w:val="VerbatimChar"/>
        </w:rPr>
        <w:t xml:space="preserve">@id</w:t>
      </w:r>
      <w:r>
        <w:t xml:space="preserve">: l'entità è una sola (versione EN richiesta dalla voce 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nel contenuto.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2026-10-22T08:15:39Z</dcterms:created>
  <dcterms:modified xsi:type="dcterms:W3CDTF">2026-10-22T08:15:39Z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