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 (esito: nessun elemento del progetto cambiato in produzione; baseline aggiornate con 23 elementi KOS e 21 AA cambiati o nuovi, segreti esclusi; regole web del 31/10 in</w:t>
            </w:r>
            <w:r>
              <w:t xml:space="preserve"> </w:t>
            </w:r>
            <w:r>
              <w:rPr>
                <w:rStyle w:val="VerbatimChar"/>
              </w:rPr>
              <w:t xml:space="preserve">&lt;sito&gt;/files/web-rules/produzione-2026-10-31.conf</w:t>
            </w:r>
            <w:r>
              <w:t xml:space="preserve"> </w:t>
            </w:r>
            <w:r>
              <w:t xml:space="preserve">per entrambi i siti):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ora nel repository,</w:t>
            </w:r>
            <w:r>
              <w:t xml:space="preserve"> </w:t>
            </w:r>
            <w:r>
              <w:rPr>
                <w:rStyle w:val="VerbatimChar"/>
              </w:rPr>
              <w:t xml:space="preserve">scripts/collaudo/monitor/</w:t>
            </w:r>
            <w:r>
              <w:t xml:space="preserve"> </w:t>
            </w:r>
            <w:r>
              <w:t xml:space="preserve">(31/10):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Search Console 14/6/2025-23/10/2026, tabella</w:t>
      </w:r>
      <w:r>
        <w:t xml:space="preserve"> </w:t>
      </w:r>
      <w:r>
        <w:rPr>
          <w:rStyle w:val="VerbatimChar"/>
        </w:rPr>
        <w:t xml:space="preserve">searchconsole_aa.storico_url_impression</w:t>
      </w:r>
      <w:r>
        <w:t xml:space="preserve">: 0 impressioni per tutte e 11, contro 214.341 delle 14 pagine provincia pubblicate,</w:t>
      </w:r>
      <w:r>
        <w:t xml:space="preserve"> </w:t>
      </w:r>
      <w:r>
        <w:t xml:space="preserve">quindi nessun 301 necessario;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2026-10-31T20:26:52Z</dcterms:created>
  <dcterms:modified xsi:type="dcterms:W3CDTF">2026-10-31T20:26:52Z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