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948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011"/>
        <w:gridCol w:w="2287"/>
        <w:gridCol w:w="1258"/>
        <w:gridCol w:w="1317"/>
        <w:gridCol w:w="839"/>
        <w:gridCol w:w="3828"/>
        <w:gridCol w:w="2756"/>
      </w:tblGrid>
      <w:tr w:rsidR="00093813" w:rsidRPr="00093813" w14:paraId="3AAA6865" w14:textId="77777777" w:rsidTr="00093813"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936F8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CLASSE/ MEDICAMENTO</w:t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EB08B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EFICÁCIA</w:t>
            </w:r>
          </w:p>
        </w:tc>
        <w:tc>
          <w:tcPr>
            <w:tcW w:w="4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7A648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ASPECTOS CLÍNICOS GERAIS</w:t>
            </w:r>
          </w:p>
        </w:tc>
        <w:tc>
          <w:tcPr>
            <w:tcW w:w="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2CD36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CUSTO</w:t>
            </w:r>
          </w:p>
        </w:tc>
        <w:tc>
          <w:tcPr>
            <w:tcW w:w="3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734D0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CONSIDERAÇÕES CLÍNICAS IMPORTANTES</w:t>
            </w:r>
          </w:p>
        </w:tc>
        <w:tc>
          <w:tcPr>
            <w:tcW w:w="2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1B8C6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6"/>
                <w:szCs w:val="16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6"/>
                <w:szCs w:val="16"/>
                <w14:ligatures w14:val="none"/>
              </w:rPr>
              <w:t>CONTRAINDICAÇÕES</w:t>
            </w:r>
          </w:p>
        </w:tc>
      </w:tr>
      <w:tr w:rsidR="00093813" w:rsidRPr="00093813" w14:paraId="630CEF92" w14:textId="77777777" w:rsidTr="00093813"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3C3EF" w14:textId="77777777" w:rsidR="00093813" w:rsidRPr="00093813" w:rsidRDefault="00093813" w:rsidP="000938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0681E" w14:textId="77777777" w:rsidR="00093813" w:rsidRPr="00093813" w:rsidRDefault="00093813" w:rsidP="000938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6F48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Efeito cardiovascular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FD0A3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Hipoglicemia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386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3BEC8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Alteração de peso</w:t>
            </w:r>
          </w:p>
        </w:tc>
        <w:tc>
          <w:tcPr>
            <w:tcW w:w="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AAFA9" w14:textId="77777777" w:rsidR="00093813" w:rsidRPr="00093813" w:rsidRDefault="00093813" w:rsidP="0009381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1B84B" w14:textId="77777777" w:rsidR="00093813" w:rsidRPr="00093813" w:rsidRDefault="00093813" w:rsidP="0009381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2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7DD2D" w14:textId="77777777" w:rsidR="00093813" w:rsidRPr="00093813" w:rsidRDefault="00093813" w:rsidP="00093813">
            <w:pPr>
              <w:rPr>
                <w:rFonts w:ascii="Times New Roman" w:eastAsia="Times New Roman" w:hAnsi="Times New Roman" w:cs="Times New Roman"/>
                <w:kern w:val="0"/>
                <w:sz w:val="14"/>
                <w:szCs w:val="14"/>
                <w14:ligatures w14:val="none"/>
              </w:rPr>
            </w:pPr>
          </w:p>
        </w:tc>
      </w:tr>
      <w:tr w:rsidR="00093813" w:rsidRPr="00093813" w14:paraId="44D13692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A748" w14:textId="77777777" w:rsidR="00093813" w:rsidRPr="00093813" w:rsidRDefault="00093813" w:rsidP="00093813">
            <w:pPr>
              <w:ind w:right="-108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Sulfonilureias</w:t>
            </w:r>
          </w:p>
        </w:tc>
      </w:tr>
      <w:tr w:rsidR="00093813" w:rsidRPr="00093813" w14:paraId="393C8E89" w14:textId="77777777" w:rsidTr="00093813">
        <w:trPr>
          <w:trHeight w:val="85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74879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Clorpropamida*</w:t>
            </w:r>
          </w:p>
          <w:p w14:paraId="631414BC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:u w:val="single"/>
                <w14:ligatures w14:val="none"/>
              </w:rPr>
              <w:t>Glibenclamida</w:t>
            </w:r>
          </w:p>
          <w:p w14:paraId="146C54C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Glipizida*</w:t>
            </w:r>
          </w:p>
          <w:p w14:paraId="1AFD2006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:u w:val="single"/>
                <w14:ligatures w14:val="none"/>
              </w:rPr>
              <w:t>Gliclazida</w:t>
            </w:r>
          </w:p>
          <w:p w14:paraId="7BC255D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:u w:val="single"/>
                <w14:ligatures w14:val="none"/>
              </w:rPr>
              <w:t xml:space="preserve">Gliclazida </w:t>
            </w:r>
            <w:r w:rsidRPr="00093813">
              <w:rPr>
                <w:rFonts w:ascii="Montserrat" w:eastAsia="Times New Roman" w:hAnsi="Montserrat" w:cs="Times New Roman"/>
                <w:b/>
                <w:bCs/>
                <w:i/>
                <w:iCs/>
                <w:color w:val="000000"/>
                <w:kern w:val="0"/>
                <w:sz w:val="15"/>
                <w:szCs w:val="15"/>
                <w:u w:val="single"/>
                <w14:ligatures w14:val="none"/>
              </w:rPr>
              <w:t>MR</w:t>
            </w:r>
            <w:r w:rsidRPr="00093813">
              <w:rPr>
                <w:rFonts w:ascii="Montserrat" w:eastAsia="Times New Roman" w:hAnsi="Montserrat" w:cs="Times New Roman"/>
                <w:b/>
                <w:bCs/>
                <w:i/>
                <w:iCs/>
                <w:color w:val="000000"/>
                <w:kern w:val="0"/>
                <w:sz w:val="15"/>
                <w:szCs w:val="15"/>
                <w:u w:val="single"/>
                <w:vertAlign w:val="superscript"/>
                <w14:ligatures w14:val="none"/>
              </w:rPr>
              <w:t>4</w:t>
            </w:r>
          </w:p>
          <w:p w14:paraId="6963831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Glimepirida*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860AC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Alta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1681F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Neutro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44B98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Sim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4FA5C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Ganho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563BB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Baixo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FBB46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 xml:space="preserve">Gliclazida MR e glimepirida tem menor risco de hipoglicemia; orientar tomada com alimento; monitorar e/ou orientar paciente sobre </w:t>
            </w: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sinais de hipoglicemia</w:t>
            </w: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:vertAlign w:val="superscript"/>
                <w14:ligatures w14:val="none"/>
              </w:rPr>
              <w:t>3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; monitorar funções renal e hepática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04B10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Insuficiência hepática; Gestação; TFG &lt; 30mL/min/1,73m2</w:t>
            </w:r>
          </w:p>
        </w:tc>
      </w:tr>
      <w:tr w:rsidR="00093813" w:rsidRPr="00093813" w14:paraId="03BDF9D2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502EC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Meglitinidas</w:t>
            </w:r>
          </w:p>
        </w:tc>
      </w:tr>
      <w:tr w:rsidR="00093813" w:rsidRPr="00093813" w14:paraId="117E7803" w14:textId="77777777" w:rsidTr="00093813">
        <w:trPr>
          <w:trHeight w:val="7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597DA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Repaglinida*</w:t>
            </w:r>
          </w:p>
          <w:p w14:paraId="7F3F404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Nateglinida*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141C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5374D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Repaglinida: ↓ do espessamento médio intimal carotídeo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4DCD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Sim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0A09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Ganho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DA914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5781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↓ da variabilidade da glicemia pós-prandial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5D7A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Gestação</w:t>
            </w:r>
          </w:p>
        </w:tc>
      </w:tr>
      <w:tr w:rsidR="00093813" w:rsidRPr="00093813" w14:paraId="057D11D6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BEDE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Biguanida</w:t>
            </w:r>
          </w:p>
        </w:tc>
      </w:tr>
      <w:tr w:rsidR="00093813" w:rsidRPr="00093813" w14:paraId="0E5B59A4" w14:textId="77777777" w:rsidTr="00093813">
        <w:trPr>
          <w:trHeight w:val="691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1E149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:u w:val="single"/>
                <w14:ligatures w14:val="none"/>
              </w:rPr>
              <w:t>Metformina</w:t>
            </w:r>
          </w:p>
          <w:p w14:paraId="70CC7D3E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Metformina XR*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D978D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Alta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BE8F3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Potencial benefício em eventos cardiovasculares maiores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454F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C8BC1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Neutro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A46E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Baixo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D2F4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Diarreia e náuseas são comuns (principalmente no início do tratamento e menos frequentes na apresentação XR; orientar tomada com alimento); Risco de deficiência de vitamina B12 (monitorar níveis anualmente após quatro anos de início); monitorar funções renal e hepática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F959C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Insuficiência Cardíaca Congestiva (classe IV), doença hepática grave, TFG &lt; 30mL/min/1,73m2</w:t>
            </w:r>
          </w:p>
        </w:tc>
      </w:tr>
      <w:tr w:rsidR="00093813" w:rsidRPr="00093813" w14:paraId="1EFBC677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A57E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Inibidores da alfa-glicosidase</w:t>
            </w:r>
          </w:p>
        </w:tc>
      </w:tr>
      <w:tr w:rsidR="00093813" w:rsidRPr="00093813" w14:paraId="2E9AA843" w14:textId="77777777" w:rsidTr="00093813">
        <w:trPr>
          <w:trHeight w:val="215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9881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Acarbose*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6B16B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158A0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↓ de eventos cardiovasculares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1A441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718F2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Perda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D2C2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623F6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Melhora perfil lipídico; Efeitos adversos gastrointestinais comuns, principalmente flatulência, meteorismo e diarreia (orientar tomada com alimento)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:vertAlign w:val="superscript"/>
                <w14:ligatures w14:val="none"/>
              </w:rPr>
              <w:t>1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E52C9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Doença inflamatória intestinal; Doença intestinal associada à má absorção; Doença Renal Crônica grave</w:t>
            </w:r>
          </w:p>
        </w:tc>
      </w:tr>
      <w:tr w:rsidR="00093813" w:rsidRPr="00093813" w14:paraId="71B3206C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D180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Glitazonas (tiazolidinedionas)</w:t>
            </w:r>
          </w:p>
        </w:tc>
      </w:tr>
      <w:tr w:rsidR="00093813" w:rsidRPr="00093813" w14:paraId="30005A78" w14:textId="77777777" w:rsidTr="00093813">
        <w:trPr>
          <w:trHeight w:val="392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FB1E9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Pioglitazona*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94064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Alta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802D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Potencial benefício em eventos cardiovasculares maiores; ↑ risco de ICC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1A2A9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9FBD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Ganho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F6E20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Baixo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0A79A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Recomenda-se evitar seu uso em pacientes com IR devido à retenção hídrica potencial; risco de fraturas ósseas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AA10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Insuficiência hepática; Gestação; Insuficiência Cardíaca Classes III e IV</w:t>
            </w:r>
          </w:p>
        </w:tc>
      </w:tr>
      <w:tr w:rsidR="00093813" w:rsidRPr="00093813" w14:paraId="1CE4B5D5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B67AA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Gliptinas (inibidores da enzima DPP-4)</w:t>
            </w:r>
          </w:p>
        </w:tc>
      </w:tr>
      <w:tr w:rsidR="00093813" w:rsidRPr="00093813" w14:paraId="730CDEF9" w14:textId="77777777" w:rsidTr="00093813">
        <w:trPr>
          <w:trHeight w:val="1198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0746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Sitagliptina*</w:t>
            </w:r>
          </w:p>
          <w:p w14:paraId="311DC2CC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Vildagliptina*</w:t>
            </w:r>
          </w:p>
          <w:p w14:paraId="5DC6D4DD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Saxagliptina*</w:t>
            </w:r>
          </w:p>
          <w:p w14:paraId="2FE10A70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Linagliptina *</w:t>
            </w:r>
          </w:p>
          <w:p w14:paraId="675A3098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Alogliptina*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7231E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AFEF4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Saxagliptina e alogliptina: risco potencial de ICC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3B44D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8C9C2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Neutro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104DE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4C05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Podem ser usados na IR (requerem ajuste); risco de pancreatite aguda;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:vertAlign w:val="superscript"/>
                <w14:ligatures w14:val="none"/>
              </w:rPr>
              <w:t xml:space="preserve"> 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o paciente pode apresentar dor nas articulações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3C803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Alergia aos componentes do medicamento (exemplo: celulose, lactose, óxido de ferro amarelo, óxido de ferro vermelho; deve-se ter atenção caso o paciente tenha alergia a esses dois últimos e problemas respiratórios: pode haver piora do quadro clínico)</w:t>
            </w:r>
          </w:p>
        </w:tc>
      </w:tr>
      <w:tr w:rsidR="00093813" w:rsidRPr="00093813" w14:paraId="68CF5FD9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2E606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Miméticos e análogos do GLP-1</w:t>
            </w:r>
          </w:p>
        </w:tc>
      </w:tr>
      <w:tr w:rsidR="00093813" w:rsidRPr="00093813" w14:paraId="31AFC64C" w14:textId="77777777" w:rsidTr="00093813">
        <w:trPr>
          <w:trHeight w:val="585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D08B5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Exenatida*</w:t>
            </w:r>
          </w:p>
          <w:p w14:paraId="0163F1C8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Liraglutida*</w:t>
            </w:r>
          </w:p>
          <w:p w14:paraId="723F3A0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Lixisenatida*</w:t>
            </w:r>
          </w:p>
          <w:p w14:paraId="7EA21D78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Dulaglutida*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184CC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Alta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057DB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Liraglutida e dulaglutida: benefícios caso o paciente tenha tido algum evento cardiovascular grave; exenatida e lixisenatida: neutro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74CEA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E9D79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Perda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C1D73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FFFFFF" w:themeColor="background1"/>
                <w:kern w:val="0"/>
                <w:sz w:val="15"/>
                <w:szCs w:val="15"/>
                <w14:ligatures w14:val="none"/>
              </w:rPr>
              <w:t>Alto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28D3B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Administração SC com risco de reações no local da administração; risco de pancreatite aguda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10314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Pancreatite; TFG &lt; 15mL/min/1,73m2; Uso simultâneo de inibidores da DPP-4</w:t>
            </w:r>
          </w:p>
        </w:tc>
      </w:tr>
      <w:tr w:rsidR="00093813" w:rsidRPr="00093813" w14:paraId="0AE63216" w14:textId="77777777" w:rsidTr="00093813">
        <w:tc>
          <w:tcPr>
            <w:tcW w:w="149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15A5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Inibidores do SGLT2</w:t>
            </w:r>
          </w:p>
        </w:tc>
      </w:tr>
      <w:tr w:rsidR="00093813" w:rsidRPr="00093813" w14:paraId="304C9868" w14:textId="77777777" w:rsidTr="00093813">
        <w:trPr>
          <w:trHeight w:val="906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C32FC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14:ligatures w14:val="none"/>
              </w:rPr>
              <w:t>Dapagliflozina</w:t>
            </w:r>
          </w:p>
          <w:p w14:paraId="20DCC1D8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14:ligatures w14:val="none"/>
              </w:rPr>
              <w:t>Empagliflozina</w:t>
            </w:r>
          </w:p>
          <w:p w14:paraId="50053C35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Canagliflozina*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394B1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Média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498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Benefício na ICC; empagliflozina e canagliflozina: benefícios caso o paciente tenha tido algum evento cardiovascular grave. 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AA37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Não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7E8A8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Perda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5455B" w14:textId="77777777" w:rsidR="00093813" w:rsidRPr="00093813" w:rsidRDefault="00093813" w:rsidP="00093813">
            <w:pPr>
              <w:jc w:val="center"/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Médio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2831B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Risco de cetoacidose diabética (monitorar fatores de risco e/ou orientar sobre sinais); descontinuar três a quatro dias antes de cirurgia agendada ou jejum prolongado para reduzir risco de cetoacidose diabética; risco de infecção genito-urinária; monitorar função renal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C94DA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Limitação de uso pela função renal: </w:t>
            </w:r>
          </w:p>
          <w:p w14:paraId="1FE73435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14:ligatures w14:val="none"/>
              </w:rPr>
              <w:t>Dapagliflozina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: TFG &lt; 25mL/min/1,73m2;</w:t>
            </w:r>
          </w:p>
          <w:p w14:paraId="03CA93E6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14:ligatures w14:val="none"/>
              </w:rPr>
              <w:t>Empagliflozina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: TFG &lt; 15mL/min/1,73m2;</w:t>
            </w:r>
          </w:p>
          <w:p w14:paraId="0D988C57" w14:textId="77777777" w:rsidR="00093813" w:rsidRPr="00093813" w:rsidRDefault="00093813" w:rsidP="00093813">
            <w:pPr>
              <w:rPr>
                <w:rFonts w:ascii="Montserrat" w:eastAsia="Times New Roman" w:hAnsi="Montserrat" w:cs="Times New Roman"/>
                <w:kern w:val="0"/>
                <w:sz w:val="15"/>
                <w:szCs w:val="15"/>
                <w14:ligatures w14:val="none"/>
              </w:rPr>
            </w:pPr>
            <w:r w:rsidRPr="00093813">
              <w:rPr>
                <w:rFonts w:ascii="Montserrat" w:eastAsia="Times New Roman" w:hAnsi="Montserrat" w:cs="Times New Roman"/>
                <w:i/>
                <w:iCs/>
                <w:color w:val="000000"/>
                <w:kern w:val="0"/>
                <w:sz w:val="15"/>
                <w:szCs w:val="15"/>
                <w14:ligatures w14:val="none"/>
              </w:rPr>
              <w:t>Canagliflozina</w:t>
            </w:r>
            <w:r w:rsidRPr="00093813">
              <w:rPr>
                <w:rFonts w:ascii="Montserrat" w:eastAsia="Times New Roman" w:hAnsi="Montserrat" w:cs="Times New Roman"/>
                <w:color w:val="000000"/>
                <w:kern w:val="0"/>
                <w:sz w:val="15"/>
                <w:szCs w:val="15"/>
                <w14:ligatures w14:val="none"/>
              </w:rPr>
              <w:t>: TFG &lt; 15mL/min/1,73m2;</w:t>
            </w:r>
          </w:p>
        </w:tc>
      </w:tr>
    </w:tbl>
    <w:p w14:paraId="332EE9C2" w14:textId="352D7BE2" w:rsidR="00BD0DFD" w:rsidRPr="00093813" w:rsidRDefault="00BD0DFD">
      <w:pPr>
        <w:rPr>
          <w:sz w:val="14"/>
          <w:szCs w:val="14"/>
        </w:rPr>
      </w:pPr>
    </w:p>
    <w:sectPr w:rsidR="00BD0DFD" w:rsidRPr="00093813" w:rsidSect="00093813">
      <w:pgSz w:w="15840" w:h="12240" w:orient="landscape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13"/>
    <w:rsid w:val="00093813"/>
    <w:rsid w:val="005B7FEB"/>
    <w:rsid w:val="0093720A"/>
    <w:rsid w:val="00B33482"/>
    <w:rsid w:val="00BD0DFD"/>
    <w:rsid w:val="00D671C0"/>
    <w:rsid w:val="00F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C797F"/>
  <w15:chartTrackingRefBased/>
  <w15:docId w15:val="{E594AEAE-CC6E-6344-902A-C19FBE96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38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Nunes</dc:creator>
  <cp:keywords/>
  <dc:description/>
  <cp:lastModifiedBy>Luciana Nunes</cp:lastModifiedBy>
  <cp:revision>1</cp:revision>
  <dcterms:created xsi:type="dcterms:W3CDTF">2024-08-12T02:01:00Z</dcterms:created>
  <dcterms:modified xsi:type="dcterms:W3CDTF">2024-08-12T02:15:00Z</dcterms:modified>
</cp:coreProperties>
</file>