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hAnsi="Times New Roman"/>
          <w:b/>
          <w:color w:val="003399"/>
          <w:sz w:val="32"/>
        </w:rPr>
        <w:t>SISTEMA DE INFORMACIÓN HOSPITALARIA DISTRIBUIDO</w:t>
        <w:br/>
        <w:t>CON MICROSERVICIOS, FHIR R4 Y CONSISTENCIA EVENTUAL</w:t>
      </w:r>
    </w:p>
    <w:p>
      <w:pPr>
        <w:spacing w:after="60" w:before="0"/>
        <w:jc w:val="center"/>
      </w:pPr>
      <w:r>
        <w:rPr>
          <w:rFonts w:ascii="Times New Roman" w:hAnsi="Times New Roman"/>
          <w:i/>
          <w:sz w:val="18"/>
        </w:rPr>
        <w:t>Contreras Altamiranda, Jesús David¹</w:t>
      </w:r>
    </w:p>
    <w:p>
      <w:pPr>
        <w:spacing w:after="60" w:before="0"/>
        <w:jc w:val="center"/>
      </w:pPr>
      <w:r>
        <w:rPr>
          <w:rFonts w:ascii="Times New Roman" w:hAnsi="Times New Roman"/>
          <w:i/>
          <w:color w:val="555555"/>
          <w:sz w:val="16"/>
        </w:rPr>
        <w:t>¹Programa de Ingeniería de Sistemas — Universidad de Sucre — Sincelejo, Colombia</w:t>
        <w:br/>
        <w:t>jesus.contreras@unisucre.edu.co</w:t>
      </w:r>
    </w:p>
    <w:p>
      <w:pPr>
        <w:pBdr>
          <w:bottom w:val="single" w:color="003399" w:sz="12"/>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99" w:sz="4"/>
              <w:left w:val="none" w:color="FFFFFF" w:sz="0"/>
              <w:bottom w:val="single" w:color="003399" w:sz="4"/>
              <w:right w:val="none" w:color="FFFFFF" w:sz="0"/>
            </w:tcBorders>
            <w:shd w:fill="EEF2FF" w:val="clear"/>
            <w:tcMar>
              <w:top w:type="dxa" w:w="120"/>
              <w:left w:type="dxa" w:w="200"/>
              <w:bottom w:type="dxa" w:w="120"/>
              <w:right w:type="dxa" w:w="200"/>
            </w:tcMar>
          </w:tcPr>
          <w:p/>
          <w:p>
            <w:pPr>
              <w:jc w:val="both"/>
              <w:spacing w:before="0" w:after="57150"/>
            </w:pPr>
            <w:r>
              <w:rPr>
                <w:rFonts w:ascii="Times New Roman" w:hAnsi="Times New Roman"/>
                <w:sz w:val="18"/>
                <w:szCs w:val="18"/>
                <w:b/>
                <w:bCs/>
              </w:rPr>
              <w:t xml:space="preserve">Resumen — </w:t>
            </w:r>
            <w:r>
              <w:rPr>
                <w:rFonts w:ascii="Times New Roman" w:hAnsi="Times New Roman"/>
                <w:sz w:val="18"/>
                <w:szCs w:val="18"/>
              </w:rPr>
              <w:t xml:space="preserve">El presente artículo describe el diseño, implementación y evaluación de un Sistema de Información Hospitalaria (HIS) distribuido para la red de salud colombiana, con cobertura de tres nodos geográficos: Sincelejo, Bogotá y Medellín. La arquitectura combina un modelo hub-and-spoke con sharding horizontal de PostgreSQL, un servidor HAPI FHIR R4 centralizado y sincronización asíncrona mediante RabbitMQ con el patrón Transactional Outbox. Los microservicios FastAPI se orquestan con Docker Compose, garantizando autonomía local ante particiones de red. Un circuit-breaker gestiona la indisponibilidad del cloud. La observabilidad se provee con Prometheus y Grafana. Los resultados demuestran consistencia eventual exitosa, reentrega al 100% de eventos tras fallos simulados y respuesta local sub-segundo.</w:t>
            </w:r>
          </w:p>
          <w:p>
            <w:pPr>
              <w:jc w:val="both"/>
              <w:spacing w:before="0" w:after="57150"/>
            </w:pPr>
            <w:r>
              <w:rPr>
                <w:rFonts w:ascii="Times New Roman" w:hAnsi="Times New Roman"/>
                <w:sz w:val="18"/>
                <w:szCs w:val="18"/>
                <w:b/>
                <w:bCs/>
              </w:rPr>
              <w:t xml:space="preserve">Keywords — </w:t>
            </w:r>
            <w:r>
              <w:rPr>
                <w:rFonts w:ascii="Times New Roman" w:hAnsi="Times New Roman"/>
                <w:sz w:val="18"/>
                <w:szCs w:val="18"/>
                <w:i/>
                <w:iCs/>
              </w:rPr>
              <w:t xml:space="preserve">sistemas distribuidos, historia clínica electrónica, HL7 FHIR R4, microservicios, patrón Outbox, circuit breaker, RabbitMQ, sharding PostgreSQL, Docker Compose, HAPI FHIR, interoperabilidad en salud.</w:t>
            </w:r>
          </w:p>
          <w:p>
            <w:pPr>
              <w:jc w:val="both"/>
              <w:spacing w:before="0" w:after="57150"/>
            </w:pPr>
            <w:r>
              <w:rPr>
                <w:rFonts w:ascii="Times New Roman" w:hAnsi="Times New Roman"/>
                <w:sz w:val="18"/>
                <w:szCs w:val="18"/>
                <w:b/>
                <w:bCs/>
              </w:rPr>
              <w:t xml:space="preserve">Abstract — </w:t>
            </w:r>
            <w:r>
              <w:rPr>
                <w:rFonts w:ascii="Times New Roman" w:hAnsi="Times New Roman"/>
                <w:sz w:val="18"/>
                <w:szCs w:val="18"/>
              </w:rPr>
              <w:t xml:space="preserve">This paper presents a distributed Electronic Health Record (EHR) system for three Colombian geographic nodes: Sincelejo, Bogotá and Medellín. The hub-and-spoke architecture combines PostgreSQL horizontal sharding, HAPI FHIR R4 and RabbitMQ with the Transactional Outbox Pattern. FastAPI microservices are orchestrated with Docker Compose. Results show 100% event redelivery after simulated failures and sub-second local response.</w:t>
            </w:r>
          </w:p>
        </w:tc>
      </w:tr>
    </w:tbl>
    <w:p>
      <w:pPr>
        <w:spacing w:after="60" w:before="120"/>
      </w:pPr>
    </w:p>
    <w:p>
      <w:pPr>
        <w:pBdr>
          <w:bottom w:val="single" w:color="003399" w:sz="6"/>
        </w:pBdr>
        <w:spacing w:after="0" w:before="0"/>
      </w:pPr>
    </w:p>
    <w:p>
      <w:pPr>
        <w:spacing w:after="120" w:before="60"/>
        <w:jc w:val="center"/>
      </w:pPr>
      <w:r>
        <w:rPr>
          <w:rFonts w:ascii="Times New Roman" w:hAnsi="Times New Roman"/>
          <w:i/>
          <w:color w:val="888888"/>
          <w:sz w:val="16"/>
        </w:rPr>
        <w:t>⬇  El cuerpo del artículo se presenta en dos columnas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180"/>
            </w:tcMar>
          </w:tcPr>
          <w:p/>
          <w:p>
            <w:pPr>
              <w:jc w:val="left"/>
              <w:spacing w:before="0" w:after="57150"/>
            </w:pPr>
            <w:r>
              <w:rPr>
                <w:rFonts w:ascii="Times New Roman" w:hAnsi="Times New Roman"/>
                <w:sz w:val="20"/>
                <w:szCs w:val="20"/>
                <w:b/>
                <w:bCs/>
              </w:rPr>
              <w:t xml:space="preserve">I. INTRODUCCIÓN</w:t>
            </w:r>
          </w:p>
          <w:p>
            <w:pPr>
              <w:jc w:val="both"/>
              <w:spacing w:before="0" w:after="76200"/>
            </w:pPr>
            <w:r>
              <w:rPr>
                <w:rFonts w:ascii="Times New Roman" w:hAnsi="Times New Roman"/>
                <w:sz w:val="18"/>
                <w:szCs w:val="18"/>
              </w:rPr>
              <w:t xml:space="preserve">Los sistemas de información hospitalaria (HIS) distribuidos constituyen uno de los desafíos más complejos en la ingeniería de software aplicada a la salud. Colombia presenta una red de Instituciones Prestadoras de Servicios de Salud (IPS) geográficamente dispersas, con conectividad intermitente y requisitos estrictos de trazabilidad médico-legal. La adopción histórica de formatos propietarios y arquitecturas monolíticas ha limitado la interoperabilidad entre prestadores.</w:t>
            </w:r>
          </w:p>
          <w:p>
            <w:pPr>
              <w:jc w:val="both"/>
              <w:spacing w:before="0" w:after="76200"/>
            </w:pPr>
            <w:r>
              <w:rPr>
                <w:rFonts w:ascii="Times New Roman" w:hAnsi="Times New Roman"/>
                <w:sz w:val="18"/>
                <w:szCs w:val="18"/>
              </w:rPr>
              <w:t xml:space="preserve">El estándar HL7 FHIR R4 emerge como solución de consenso internacional para el intercambio clínico estructurado. El Ministerio de Salud y Protección Social (MSPS) ha iniciado su adopción con la Guía IG-CO-CORE v0.2. Este trabajo propone e implementa un HIS distribuido con microservicios FastAPI, sharding PostgreSQL, consistencia eventual mediante el patrón Outbox y HAPI FHIR R4 como repositorio central.</w:t>
            </w:r>
          </w:p>
          <w:p>
            <w:pPr>
              <w:jc w:val="both"/>
              <w:spacing w:before="0" w:after="76200"/>
            </w:pPr>
            <w:r>
              <w:rPr>
                <w:rFonts w:ascii="Times New Roman" w:hAnsi="Times New Roman"/>
                <w:sz w:val="18"/>
                <w:szCs w:val="18"/>
              </w:rPr>
              <w:t xml:space="preserve">El sistema cubre tres nodos geográficos: Sincelejo (Sucre), Bogotá (Cundinamarca) y Medellín (Antioquia), cada uno con autonomía local completa. Las contribuciones principales son: (1) arquitectura hub-and-spoke reproducible para redes de salud con conectividad limitada; (2) implementación funcional del patrón Transactional Outbox sobre PostgreSQL; (3) integración de cinco recursos FHIR R4 en flujos clínicos reales; (4) stack de observabilidad distribuida con métricas por nodo geográfico.</w:t>
            </w:r>
          </w:p>
          <w:p>
            <w:pPr>
              <w:jc w:val="left"/>
              <w:spacing w:before="190500" w:after="57150"/>
            </w:pPr>
            <w:r>
              <w:rPr>
                <w:rFonts w:ascii="Times New Roman" w:hAnsi="Times New Roman"/>
                <w:sz w:val="20"/>
                <w:szCs w:val="20"/>
                <w:b/>
                <w:bCs/>
              </w:rPr>
              <w:t xml:space="preserve">II. ARQUITECTURA DEL SISTEMA</w:t>
            </w:r>
          </w:p>
          <w:p>
            <w:pPr>
              <w:jc w:val="both"/>
              <w:spacing w:before="0" w:after="76200"/>
            </w:pPr>
            <w:r>
              <w:rPr>
                <w:rFonts w:ascii="Times New Roman" w:hAnsi="Times New Roman"/>
                <w:sz w:val="18"/>
                <w:szCs w:val="18"/>
              </w:rPr>
              <w:t xml:space="preserve">La arquitectura adopta el modelo hub-and-spoke con tres capas. La Capa de Presentación es una interfaz web HTML/CSS/JS servida por el Gateway Service (puerto 8001), con módulos Dashboard, Registro de Paciente, Carga de Historia Clínica, Consulta HC e Importación cross-sede.</w:t>
            </w:r>
          </w:p>
          <w:p>
            <w:pPr>
              <w:jc w:val="both"/>
              <w:spacing w:before="0" w:after="76200"/>
            </w:pPr>
            <w:r>
              <w:rPr>
                <w:rFonts w:ascii="Times New Roman" w:hAnsi="Times New Roman"/>
                <w:sz w:val="18"/>
                <w:szCs w:val="18"/>
              </w:rPr>
              <w:t xml:space="preserve">La Capa de Microservicios comprende cuatro servicios FastAPI independientes que se comunican mediante HTTP y RabbitMQ. La Capa de Datos e Infraestructura incluye tres instancias PostgreSQL 15 (una por sede), el servidor HAPI FHIR R4, el broker RabbitMQ y el stack de observabilidad Prometheus + Grafana. El sistema completo se orquesta con Docker Compose en 17 servicios dentro de una red interna bridge (historia_clinica_net).</w:t>
            </w:r>
          </w:p>
          <w:p>
            <w:pPr>
              <w:jc w:val="center"/>
              <w:spacing w:before="57150" w:after="38100"/>
            </w:pPr>
            <w:r>
              <w:rPr>
                <w:rFonts w:ascii="Times New Roman" w:hAnsi="Times New Roman"/>
                <w:sz w:val="16"/>
                <w:szCs w:val="16"/>
                <w:i/>
                <w:iCs/>
              </w:rPr>
              <w:t xml:space="preserve">[Insertar Figura 1: Diagrama de arquitectura hub-and-spoke del sistema HIS Distribuido]</w:t>
            </w:r>
          </w:p>
          <w:tbl>
            <w:tblPr>
              <w:tblW w:type="pct" w:w="4950"/>
              <w:tblBorders>
                <w:top w:val="single" w:sz="4" w:color="auto"/>
                <w:left w:val="single" w:sz="4" w:color="auto"/>
                <w:bottom w:val="single" w:sz="4" w:color="auto"/>
                <w:right w:val="single" w:sz="4" w:color="auto"/>
                <w:insideH w:val="single" w:sz="4" w:color="auto"/>
                <w:insideV w:val="single" w:sz="4" w:color="auto"/>
              </w:tblBorders>
            </w:tblPr>
            <w:tr>
              <w:tc>
                <w:p>
                  <w:pPr>
                    <w:jc w:val="left"/>
                    <w:spacing w:before="0" w:after="38100"/>
                  </w:pPr>
                  <w:r>
                    <w:rPr>
                      <w:rFonts w:ascii="Times New Roman" w:hAnsi="Times New Roman"/>
                      <w:sz w:val="16"/>
                      <w:szCs w:val="16"/>
                      <w:b/>
                      <w:bCs/>
                    </w:rPr>
                    <w:t xml:space="preserve">Servicio</w:t>
                  </w:r>
                </w:p>
              </w:tc>
              <w:tc>
                <w:p>
                  <w:pPr>
                    <w:jc w:val="left"/>
                    <w:spacing w:before="0" w:after="38100"/>
                  </w:pPr>
                  <w:r>
                    <w:rPr>
                      <w:rFonts w:ascii="Times New Roman" w:hAnsi="Times New Roman"/>
                      <w:sz w:val="16"/>
                      <w:szCs w:val="16"/>
                      <w:b/>
                      <w:bCs/>
                    </w:rPr>
                    <w:t xml:space="preserve">Puerto</w:t>
                  </w:r>
                </w:p>
              </w:tc>
              <w:tc>
                <w:p>
                  <w:pPr>
                    <w:jc w:val="left"/>
                    <w:spacing w:before="0" w:after="38100"/>
                  </w:pPr>
                  <w:r>
                    <w:rPr>
                      <w:rFonts w:ascii="Times New Roman" w:hAnsi="Times New Roman"/>
                      <w:sz w:val="16"/>
                      <w:szCs w:val="16"/>
                      <w:b/>
                      <w:bCs/>
                    </w:rPr>
                    <w:t xml:space="preserve">Función</w:t>
                  </w:r>
                </w:p>
              </w:tc>
            </w:tr>
            <w:tr>
              <w:tc>
                <w:p>
                  <w:pPr>
                    <w:jc w:val="left"/>
                    <w:spacing w:before="0" w:after="38100"/>
                  </w:pPr>
                  <w:r>
                    <w:rPr>
                      <w:rFonts w:ascii="Times New Roman" w:hAnsi="Times New Roman"/>
                      <w:sz w:val="16"/>
                      <w:szCs w:val="16"/>
                    </w:rPr>
                    <w:t xml:space="preserve">gateway-service</w:t>
                  </w:r>
                </w:p>
              </w:tc>
              <w:tc>
                <w:p>
                  <w:pPr>
                    <w:jc w:val="left"/>
                    <w:spacing w:before="0" w:after="38100"/>
                  </w:pPr>
                  <w:r>
                    <w:rPr>
                      <w:rFonts w:ascii="Times New Roman" w:hAnsi="Times New Roman"/>
                      <w:sz w:val="16"/>
                      <w:szCs w:val="16"/>
                    </w:rPr>
                    <w:t xml:space="preserve">8001</w:t>
                  </w:r>
                </w:p>
              </w:tc>
              <w:tc>
                <w:p>
                  <w:pPr>
                    <w:jc w:val="left"/>
                    <w:spacing w:before="0" w:after="38100"/>
                  </w:pPr>
                  <w:r>
                    <w:rPr>
                      <w:rFonts w:ascii="Times New Roman" w:hAnsi="Times New Roman"/>
                      <w:sz w:val="16"/>
                      <w:szCs w:val="16"/>
                    </w:rPr>
                    <w:t xml:space="preserve">API GW + JWT + Frontend</w:t>
                  </w:r>
                </w:p>
              </w:tc>
            </w:tr>
            <w:tr>
              <w:tc>
                <w:p>
                  <w:pPr>
                    <w:jc w:val="left"/>
                    <w:spacing w:before="0" w:after="38100"/>
                  </w:pPr>
                  <w:r>
                    <w:rPr>
                      <w:rFonts w:ascii="Times New Roman" w:hAnsi="Times New Roman"/>
                      <w:sz w:val="16"/>
                      <w:szCs w:val="16"/>
                    </w:rPr>
                    <w:t xml:space="preserve">patient-service</w:t>
                  </w:r>
                </w:p>
              </w:tc>
              <w:tc>
                <w:p>
                  <w:pPr>
                    <w:jc w:val="left"/>
                    <w:spacing w:before="0" w:after="38100"/>
                  </w:pPr>
                  <w:r>
                    <w:rPr>
                      <w:rFonts w:ascii="Times New Roman" w:hAnsi="Times New Roman"/>
                      <w:sz w:val="16"/>
                      <w:szCs w:val="16"/>
                    </w:rPr>
                    <w:t xml:space="preserve">8002</w:t>
                  </w:r>
                </w:p>
              </w:tc>
              <w:tc>
                <w:p>
                  <w:pPr>
                    <w:jc w:val="left"/>
                    <w:spacing w:before="0" w:after="38100"/>
                  </w:pPr>
                  <w:r>
                    <w:rPr>
                      <w:rFonts w:ascii="Times New Roman" w:hAnsi="Times New Roman"/>
                      <w:sz w:val="16"/>
                      <w:szCs w:val="16"/>
                    </w:rPr>
                    <w:t xml:space="preserve">CRUD Pacientes + FHIR</w:t>
                  </w:r>
                </w:p>
              </w:tc>
            </w:tr>
            <w:tr>
              <w:tc>
                <w:p>
                  <w:pPr>
                    <w:jc w:val="left"/>
                    <w:spacing w:before="0" w:after="38100"/>
                  </w:pPr>
                  <w:r>
                    <w:rPr>
                      <w:rFonts w:ascii="Times New Roman" w:hAnsi="Times New Roman"/>
                      <w:sz w:val="16"/>
                      <w:szCs w:val="16"/>
                    </w:rPr>
                    <w:t xml:space="preserve">clinical-service</w:t>
                  </w:r>
                </w:p>
              </w:tc>
              <w:tc>
                <w:p>
                  <w:pPr>
                    <w:jc w:val="left"/>
                    <w:spacing w:before="0" w:after="38100"/>
                  </w:pPr>
                  <w:r>
                    <w:rPr>
                      <w:rFonts w:ascii="Times New Roman" w:hAnsi="Times New Roman"/>
                      <w:sz w:val="16"/>
                      <w:szCs w:val="16"/>
                    </w:rPr>
                    <w:t xml:space="preserve">8003</w:t>
                  </w:r>
                </w:p>
              </w:tc>
              <w:tc>
                <w:p>
                  <w:pPr>
                    <w:jc w:val="left"/>
                    <w:spacing w:before="0" w:after="38100"/>
                  </w:pPr>
                  <w:r>
                    <w:rPr>
                      <w:rFonts w:ascii="Times New Roman" w:hAnsi="Times New Roman"/>
                      <w:sz w:val="16"/>
                      <w:szCs w:val="16"/>
                    </w:rPr>
                    <w:t xml:space="preserve">Historia Clínica + Sharding</w:t>
                  </w:r>
                </w:p>
              </w:tc>
            </w:tr>
            <w:tr>
              <w:tc>
                <w:p>
                  <w:pPr>
                    <w:jc w:val="left"/>
                    <w:spacing w:before="0" w:after="38100"/>
                  </w:pPr>
                  <w:r>
                    <w:rPr>
                      <w:rFonts w:ascii="Times New Roman" w:hAnsi="Times New Roman"/>
                      <w:sz w:val="16"/>
                      <w:szCs w:val="16"/>
                    </w:rPr>
                    <w:t xml:space="preserve">sync-service</w:t>
                  </w:r>
                </w:p>
              </w:tc>
              <w:tc>
                <w:p>
                  <w:pPr>
                    <w:jc w:val="left"/>
                    <w:spacing w:before="0" w:after="38100"/>
                  </w:pPr>
                  <w:r>
                    <w:rPr>
                      <w:rFonts w:ascii="Times New Roman" w:hAnsi="Times New Roman"/>
                      <w:sz w:val="16"/>
                      <w:szCs w:val="16"/>
                    </w:rPr>
                    <w:t xml:space="preserve">8004</w:t>
                  </w:r>
                </w:p>
              </w:tc>
              <w:tc>
                <w:p>
                  <w:pPr>
                    <w:jc w:val="left"/>
                    <w:spacing w:before="0" w:after="38100"/>
                  </w:pPr>
                  <w:r>
                    <w:rPr>
                      <w:rFonts w:ascii="Times New Roman" w:hAnsi="Times New Roman"/>
                      <w:sz w:val="16"/>
                      <w:szCs w:val="16"/>
                    </w:rPr>
                    <w:t xml:space="preserve">Outbox Poller + RabbitMQ</w:t>
                  </w:r>
                </w:p>
              </w:tc>
            </w:tr>
            <w:tr>
              <w:tc>
                <w:p>
                  <w:pPr>
                    <w:jc w:val="left"/>
                    <w:spacing w:before="0" w:after="38100"/>
                  </w:pPr>
                  <w:r>
                    <w:rPr>
                      <w:rFonts w:ascii="Times New Roman" w:hAnsi="Times New Roman"/>
                      <w:sz w:val="16"/>
                      <w:szCs w:val="16"/>
                    </w:rPr>
                    <w:t xml:space="preserve">hapi-fhir</w:t>
                  </w:r>
                </w:p>
              </w:tc>
              <w:tc>
                <w:p>
                  <w:pPr>
                    <w:jc w:val="left"/>
                    <w:spacing w:before="0" w:after="38100"/>
                  </w:pPr>
                  <w:r>
                    <w:rPr>
                      <w:rFonts w:ascii="Times New Roman" w:hAnsi="Times New Roman"/>
                      <w:sz w:val="16"/>
                      <w:szCs w:val="16"/>
                    </w:rPr>
                    <w:t xml:space="preserve">8080</w:t>
                  </w:r>
                </w:p>
              </w:tc>
              <w:tc>
                <w:p>
                  <w:pPr>
                    <w:jc w:val="left"/>
                    <w:spacing w:before="0" w:after="38100"/>
                  </w:pPr>
                  <w:r>
                    <w:rPr>
                      <w:rFonts w:ascii="Times New Roman" w:hAnsi="Times New Roman"/>
                      <w:sz w:val="16"/>
                      <w:szCs w:val="16"/>
                    </w:rPr>
                    <w:t xml:space="preserve">Servidor FHIR R4</w:t>
                  </w:r>
                </w:p>
              </w:tc>
            </w:tr>
            <w:tr>
              <w:tc>
                <w:p>
                  <w:pPr>
                    <w:jc w:val="left"/>
                    <w:spacing w:before="0" w:after="38100"/>
                  </w:pPr>
                  <w:r>
                    <w:rPr>
                      <w:rFonts w:ascii="Times New Roman" w:hAnsi="Times New Roman"/>
                      <w:sz w:val="16"/>
                      <w:szCs w:val="16"/>
                    </w:rPr>
                    <w:t xml:space="preserve">rabbitmq</w:t>
                  </w:r>
                </w:p>
              </w:tc>
              <w:tc>
                <w:p>
                  <w:pPr>
                    <w:jc w:val="left"/>
                    <w:spacing w:before="0" w:after="38100"/>
                  </w:pPr>
                  <w:r>
                    <w:rPr>
                      <w:rFonts w:ascii="Times New Roman" w:hAnsi="Times New Roman"/>
                      <w:sz w:val="16"/>
                      <w:szCs w:val="16"/>
                    </w:rPr>
                    <w:t xml:space="preserve">5672</w:t>
                  </w:r>
                </w:p>
              </w:tc>
              <w:tc>
                <w:p>
                  <w:pPr>
                    <w:jc w:val="left"/>
                    <w:spacing w:before="0" w:after="38100"/>
                  </w:pPr>
                  <w:r>
                    <w:rPr>
                      <w:rFonts w:ascii="Times New Roman" w:hAnsi="Times New Roman"/>
                      <w:sz w:val="16"/>
                      <w:szCs w:val="16"/>
                    </w:rPr>
                    <w:t xml:space="preserve">Message Broker</w:t>
                  </w:r>
                </w:p>
              </w:tc>
            </w:tr>
            <w:tr>
              <w:tc>
                <w:p>
                  <w:pPr>
                    <w:jc w:val="left"/>
                    <w:spacing w:before="0" w:after="38100"/>
                  </w:pPr>
                  <w:r>
                    <w:rPr>
                      <w:rFonts w:ascii="Times New Roman" w:hAnsi="Times New Roman"/>
                      <w:sz w:val="16"/>
                      <w:szCs w:val="16"/>
                    </w:rPr>
                    <w:t xml:space="preserve">pg_nodo1/2/3</w:t>
                  </w:r>
                </w:p>
              </w:tc>
              <w:tc>
                <w:p>
                  <w:pPr>
                    <w:jc w:val="left"/>
                    <w:spacing w:before="0" w:after="38100"/>
                  </w:pPr>
                  <w:r>
                    <w:rPr>
                      <w:rFonts w:ascii="Times New Roman" w:hAnsi="Times New Roman"/>
                      <w:sz w:val="16"/>
                      <w:szCs w:val="16"/>
                    </w:rPr>
                    <w:t xml:space="preserve">5433-5</w:t>
                  </w:r>
                </w:p>
              </w:tc>
              <w:tc>
                <w:p>
                  <w:pPr>
                    <w:jc w:val="left"/>
                    <w:spacing w:before="0" w:after="38100"/>
                  </w:pPr>
                  <w:r>
                    <w:rPr>
                      <w:rFonts w:ascii="Times New Roman" w:hAnsi="Times New Roman"/>
                      <w:sz w:val="16"/>
                      <w:szCs w:val="16"/>
                    </w:rPr>
                    <w:t xml:space="preserve">PostgreSQL por sede</w:t>
                  </w:r>
                </w:p>
              </w:tc>
            </w:tr>
            <w:tr>
              <w:tc>
                <w:p>
                  <w:pPr>
                    <w:jc w:val="left"/>
                    <w:spacing w:before="0" w:after="38100"/>
                  </w:pPr>
                  <w:r>
                    <w:rPr>
                      <w:rFonts w:ascii="Times New Roman" w:hAnsi="Times New Roman"/>
                      <w:sz w:val="16"/>
                      <w:szCs w:val="16"/>
                    </w:rPr>
                    <w:t xml:space="preserve">prometheus</w:t>
                  </w:r>
                </w:p>
              </w:tc>
              <w:tc>
                <w:p>
                  <w:pPr>
                    <w:jc w:val="left"/>
                    <w:spacing w:before="0" w:after="38100"/>
                  </w:pPr>
                  <w:r>
                    <w:rPr>
                      <w:rFonts w:ascii="Times New Roman" w:hAnsi="Times New Roman"/>
                      <w:sz w:val="16"/>
                      <w:szCs w:val="16"/>
                    </w:rPr>
                    <w:t xml:space="preserve">9090</w:t>
                  </w:r>
                </w:p>
              </w:tc>
              <w:tc>
                <w:p>
                  <w:pPr>
                    <w:jc w:val="left"/>
                    <w:spacing w:before="0" w:after="38100"/>
                  </w:pPr>
                  <w:r>
                    <w:rPr>
                      <w:rFonts w:ascii="Times New Roman" w:hAnsi="Times New Roman"/>
                      <w:sz w:val="16"/>
                      <w:szCs w:val="16"/>
                    </w:rPr>
                    <w:t xml:space="preserve">Métricas / Scraping</w:t>
                  </w:r>
                </w:p>
              </w:tc>
            </w:tr>
            <w:tr>
              <w:tc>
                <w:p>
                  <w:pPr>
                    <w:jc w:val="left"/>
                    <w:spacing w:before="0" w:after="38100"/>
                  </w:pPr>
                  <w:r>
                    <w:rPr>
                      <w:rFonts w:ascii="Times New Roman" w:hAnsi="Times New Roman"/>
                      <w:sz w:val="16"/>
                      <w:szCs w:val="16"/>
                    </w:rPr>
                    <w:t xml:space="preserve">grafana</w:t>
                  </w:r>
                </w:p>
              </w:tc>
              <w:tc>
                <w:p>
                  <w:pPr>
                    <w:jc w:val="left"/>
                    <w:spacing w:before="0" w:after="38100"/>
                  </w:pPr>
                  <w:r>
                    <w:rPr>
                      <w:rFonts w:ascii="Times New Roman" w:hAnsi="Times New Roman"/>
                      <w:sz w:val="16"/>
                      <w:szCs w:val="16"/>
                    </w:rPr>
                    <w:t xml:space="preserve">3000</w:t>
                  </w:r>
                </w:p>
              </w:tc>
              <w:tc>
                <w:p>
                  <w:pPr>
                    <w:jc w:val="left"/>
                    <w:spacing w:before="0" w:after="38100"/>
                  </w:pPr>
                  <w:r>
                    <w:rPr>
                      <w:rFonts w:ascii="Times New Roman" w:hAnsi="Times New Roman"/>
                      <w:sz w:val="16"/>
                      <w:szCs w:val="16"/>
                    </w:rPr>
                    <w:t xml:space="preserve">Dashboards</w:t>
                  </w:r>
                </w:p>
              </w:tc>
            </w:tr>
            <w:tr>
              <w:tc>
                <w:p>
                  <w:pPr>
                    <w:jc w:val="left"/>
                    <w:spacing w:before="0" w:after="38100"/>
                  </w:pPr>
                  <w:r>
                    <w:rPr>
                      <w:rFonts w:ascii="Times New Roman" w:hAnsi="Times New Roman"/>
                      <w:sz w:val="16"/>
                      <w:szCs w:val="16"/>
                    </w:rPr>
                    <w:t xml:space="preserve">pg-exporter×3</w:t>
                  </w:r>
                </w:p>
              </w:tc>
              <w:tc>
                <w:p>
                  <w:pPr>
                    <w:jc w:val="left"/>
                    <w:spacing w:before="0" w:after="38100"/>
                  </w:pPr>
                  <w:r>
                    <w:rPr>
                      <w:rFonts w:ascii="Times New Roman" w:hAnsi="Times New Roman"/>
                      <w:sz w:val="16"/>
                      <w:szCs w:val="16"/>
                    </w:rPr>
                    <w:t xml:space="preserve">9187-9</w:t>
                  </w:r>
                </w:p>
              </w:tc>
              <w:tc>
                <w:p>
                  <w:pPr>
                    <w:jc w:val="left"/>
                    <w:spacing w:before="0" w:after="38100"/>
                  </w:pPr>
                  <w:r>
                    <w:rPr>
                      <w:rFonts w:ascii="Times New Roman" w:hAnsi="Times New Roman"/>
                      <w:sz w:val="16"/>
                      <w:szCs w:val="16"/>
                    </w:rPr>
                    <w:t xml:space="preserve">PostgreSQL → Prometheus</w:t>
                  </w:r>
                </w:p>
              </w:tc>
            </w:tr>
          </w:tbl>
          <w:p>
            <w:pPr>
              <w:jc w:val="center"/>
              <w:spacing w:before="0" w:after="76200"/>
            </w:pPr>
            <w:r>
              <w:rPr>
                <w:rFonts w:ascii="Times New Roman" w:hAnsi="Times New Roman"/>
                <w:sz w:val="16"/>
                <w:szCs w:val="16"/>
                <w:i/>
                <w:iCs/>
              </w:rPr>
              <w:t xml:space="preserve">Fig. 1. Diagrama de arquitectura hub-and-spoke del sistema HIS Distribuido.</w:t>
            </w:r>
          </w:p>
          <w:p>
            <w:pPr>
              <w:jc w:val="center"/>
              <w:spacing w:before="0" w:after="57150"/>
            </w:pPr>
            <w:r>
              <w:rPr>
                <w:rFonts w:ascii="Times New Roman" w:hAnsi="Times New Roman"/>
                <w:sz w:val="16"/>
                <w:szCs w:val="16"/>
                <w:i/>
                <w:iCs/>
              </w:rPr>
              <w:t xml:space="preserve">Tabla I. Servicios orquestados con Docker Compose (17 en total).</w:t>
            </w:r>
          </w:p>
          <w:p>
            <w:pPr>
              <w:jc w:val="left"/>
              <w:spacing w:before="190500" w:after="57150"/>
            </w:pPr>
            <w:r>
              <w:rPr>
                <w:rFonts w:ascii="Times New Roman" w:hAnsi="Times New Roman"/>
                <w:sz w:val="20"/>
                <w:szCs w:val="20"/>
                <w:b/>
                <w:bCs/>
              </w:rPr>
              <w:t xml:space="preserve">III. MICROSERVICIOS</w:t>
            </w:r>
          </w:p>
          <w:p>
            <w:pPr>
              <w:jc w:val="left"/>
              <w:spacing w:before="95250" w:after="38100"/>
            </w:pPr>
            <w:r>
              <w:rPr>
                <w:rFonts w:ascii="Times New Roman" w:hAnsi="Times New Roman"/>
                <w:sz w:val="18"/>
                <w:szCs w:val="18"/>
                <w:b/>
                <w:bCs/>
                <w:i/>
                <w:iCs/>
              </w:rPr>
              <w:t xml:space="preserve">A. Gateway Service (8001)</w:t>
            </w:r>
          </w:p>
          <w:p>
            <w:pPr>
              <w:jc w:val="both"/>
              <w:spacing w:before="0" w:after="76200"/>
            </w:pPr>
            <w:r>
              <w:rPr>
                <w:rFonts w:ascii="Times New Roman" w:hAnsi="Times New Roman"/>
                <w:sz w:val="18"/>
                <w:szCs w:val="18"/>
              </w:rPr>
              <w:t xml:space="preserve">Punto de entrada único. Implementa autenticación JWT HS256 mediante JWTAuthMiddleware: valida el token Bearer en cada solicitud y rechaza con 401/403 las no autorizadas. Rutas públicas: /login, /health, /metrics, /api/v1/auth/login. Sirve el frontend HTML con FastAPI StaticFiles. Expone métricas Prometheus personalizadas del outbox actualizadas cada 10 s mediante tarea asyncio.</w:t>
            </w:r>
          </w:p>
          <w:p>
            <w:pPr>
              <w:jc w:val="left"/>
              <w:spacing w:before="95250" w:after="38100"/>
            </w:pPr>
            <w:r>
              <w:rPr>
                <w:rFonts w:ascii="Times New Roman" w:hAnsi="Times New Roman"/>
                <w:sz w:val="18"/>
                <w:szCs w:val="18"/>
                <w:b/>
                <w:bCs/>
                <w:i/>
                <w:iCs/>
              </w:rPr>
              <w:t xml:space="preserve">B. Patient Service (8002)</w:t>
            </w:r>
          </w:p>
          <w:p>
            <w:pPr>
              <w:jc w:val="both"/>
              <w:spacing w:before="0" w:after="76200"/>
            </w:pPr>
            <w:r>
              <w:rPr>
                <w:rFonts w:ascii="Times New Roman" w:hAnsi="Times New Roman"/>
                <w:sz w:val="18"/>
                <w:szCs w:val="18"/>
              </w:rPr>
              <w:t xml:space="preserve">Gestiona el CRUD de pacientes. Almacena localmente en el nodo asignado por sharding. Búsqueda en dos etapas: nodo local primero; si no encuentra, consulta HAPI FHIR cloud. El módulo fhir_transformer.py convierte el modelo interno a recursos FHIR R4. El endpoint POST /import recupera el bundle FHIR completo y lo persiste en el nodo destino (~800 ms promedio).</w:t>
            </w:r>
          </w:p>
          <w:p>
            <w:pPr>
              <w:jc w:val="left"/>
              <w:spacing w:before="95250" w:after="38100"/>
            </w:pPr>
            <w:r>
              <w:rPr>
                <w:rFonts w:ascii="Times New Roman" w:hAnsi="Times New Roman"/>
                <w:sz w:val="18"/>
                <w:szCs w:val="18"/>
                <w:b/>
                <w:bCs/>
                <w:i/>
                <w:iCs/>
              </w:rPr>
              <w:t xml:space="preserve">C. Clinical Service (8003)</w:t>
            </w:r>
          </w:p>
          <w:p>
            <w:pPr>
              <w:jc w:val="both"/>
              <w:spacing w:before="0" w:after="76200"/>
            </w:pPr>
            <w:r>
              <w:rPr>
                <w:rFonts w:ascii="Times New Roman" w:hAnsi="Times New Roman"/>
                <w:sz w:val="18"/>
                <w:szCs w:val="18"/>
              </w:rPr>
              <w:t xml:space="preserve">Gestiona la historia clínica completa. Lógica de sharding dirige cada operación al nodo PostgreSQL correspondiente según el documento de identidad del paciente. Persiste Encounter, Observation (signos vitales + triage), Condition (CIE-10) y MedicationRequest. Publica eventos RabbitMQ para cada recurso, iniciando el flujo de sincronización asíncrona.</w:t>
            </w:r>
          </w:p>
          <w:p>
            <w:pPr>
              <w:jc w:val="left"/>
              <w:spacing w:before="95250" w:after="38100"/>
            </w:pPr>
            <w:r>
              <w:rPr>
                <w:rFonts w:ascii="Times New Roman" w:hAnsi="Times New Roman"/>
                <w:sz w:val="18"/>
                <w:szCs w:val="18"/>
                <w:b/>
                <w:bCs/>
                <w:i/>
                <w:iCs/>
              </w:rPr>
              <w:t xml:space="preserve">D. Sync Service (8004)</w:t>
            </w:r>
          </w:p>
          <w:p>
            <w:pPr>
              <w:jc w:val="both"/>
              <w:spacing w:before="0" w:after="76200"/>
            </w:pPr>
            <w:r>
              <w:rPr>
                <w:rFonts w:ascii="Times New Roman" w:hAnsi="Times New Roman"/>
                <w:sz w:val="18"/>
                <w:szCs w:val="18"/>
              </w:rPr>
              <w:t xml:space="preserve">Corazón de la sincronización. Registra 10 consumers RabbitMQ especializados (patient_created, encounter, observation, condition, medication, y variantes sync_*). El OutboxPoller ejecuta cada 5 s: lee eventos pending de event_outbox, los transforma a recursos FHIR y los envía a HAPI FHIR. El idempotency_store previene procesamiento duplicado por event_id. El circuit-breaker gestiona fallos del cloud.</w:t>
            </w:r>
          </w:p>
          <w:p>
            <w:pPr>
              <w:jc w:val="left"/>
              <w:spacing w:before="190500" w:after="57150"/>
            </w:pPr>
            <w:r>
              <w:rPr>
                <w:rFonts w:ascii="Times New Roman" w:hAnsi="Times New Roman"/>
                <w:sz w:val="20"/>
                <w:szCs w:val="20"/>
                <w:b/>
                <w:bCs/>
              </w:rPr>
              <w:t xml:space="preserve">IV. BASE DE DATOS DISTRIBUIDA</w:t>
            </w:r>
          </w:p>
          <w:tbl>
            <w:tblPr>
              <w:tblW w:type="pct" w:w="4950"/>
              <w:tblBorders>
                <w:top w:val="single" w:sz="4" w:color="auto"/>
                <w:left w:val="single" w:sz="4" w:color="auto"/>
                <w:bottom w:val="single" w:sz="4" w:color="auto"/>
                <w:right w:val="single" w:sz="4" w:color="auto"/>
                <w:insideH w:val="single" w:sz="4" w:color="auto"/>
                <w:insideV w:val="single" w:sz="4" w:color="auto"/>
              </w:tblBorders>
            </w:tblPr>
            <w:tr>
              <w:tc>
                <w:p>
                  <w:pPr>
                    <w:jc w:val="left"/>
                    <w:spacing w:before="0" w:after="38100"/>
                  </w:pPr>
                  <w:r>
                    <w:rPr>
                      <w:rFonts w:ascii="Times New Roman" w:hAnsi="Times New Roman"/>
                      <w:sz w:val="16"/>
                      <w:szCs w:val="16"/>
                      <w:b/>
                      <w:bCs/>
                    </w:rPr>
                    <w:t xml:space="preserve">Nodo</w:t>
                  </w:r>
                </w:p>
              </w:tc>
              <w:tc>
                <w:p>
                  <w:pPr>
                    <w:jc w:val="left"/>
                    <w:spacing w:before="0" w:after="38100"/>
                  </w:pPr>
                  <w:r>
                    <w:rPr>
                      <w:rFonts w:ascii="Times New Roman" w:hAnsi="Times New Roman"/>
                      <w:sz w:val="16"/>
                      <w:szCs w:val="16"/>
                      <w:b/>
                      <w:bCs/>
                    </w:rPr>
                    <w:t xml:space="preserve">Sede</w:t>
                  </w:r>
                </w:p>
              </w:tc>
              <w:tc>
                <w:p>
                  <w:pPr>
                    <w:jc w:val="left"/>
                    <w:spacing w:before="0" w:after="38100"/>
                  </w:pPr>
                  <w:r>
                    <w:rPr>
                      <w:rFonts w:ascii="Times New Roman" w:hAnsi="Times New Roman"/>
                      <w:sz w:val="16"/>
                      <w:szCs w:val="16"/>
                      <w:b/>
                      <w:bCs/>
                    </w:rPr>
                    <w:t xml:space="preserve">Puerto</w:t>
                  </w:r>
                </w:p>
              </w:tc>
              <w:tc>
                <w:p>
                  <w:pPr>
                    <w:jc w:val="left"/>
                    <w:spacing w:before="0" w:after="38100"/>
                  </w:pPr>
                  <w:r>
                    <w:rPr>
                      <w:rFonts w:ascii="Times New Roman" w:hAnsi="Times New Roman"/>
                      <w:sz w:val="16"/>
                      <w:szCs w:val="16"/>
                      <w:b/>
                      <w:bCs/>
                    </w:rPr>
                    <w:t xml:space="preserve">Rango Documento</w:t>
                  </w:r>
                </w:p>
              </w:tc>
            </w:tr>
            <w:tr>
              <w:tc>
                <w:p>
                  <w:pPr>
                    <w:jc w:val="left"/>
                    <w:spacing w:before="0" w:after="38100"/>
                  </w:pPr>
                  <w:r>
                    <w:rPr>
                      <w:rFonts w:ascii="Times New Roman" w:hAnsi="Times New Roman"/>
                      <w:sz w:val="16"/>
                      <w:szCs w:val="16"/>
                    </w:rPr>
                    <w:t xml:space="preserve">pg_nodo1</w:t>
                  </w:r>
                </w:p>
              </w:tc>
              <w:tc>
                <w:p>
                  <w:pPr>
                    <w:jc w:val="left"/>
                    <w:spacing w:before="0" w:after="38100"/>
                  </w:pPr>
                  <w:r>
                    <w:rPr>
                      <w:rFonts w:ascii="Times New Roman" w:hAnsi="Times New Roman"/>
                      <w:sz w:val="16"/>
                      <w:szCs w:val="16"/>
                    </w:rPr>
                    <w:t xml:space="preserve">Sincelejo</w:t>
                  </w:r>
                </w:p>
              </w:tc>
              <w:tc>
                <w:p>
                  <w:pPr>
                    <w:jc w:val="left"/>
                    <w:spacing w:before="0" w:after="38100"/>
                  </w:pPr>
                  <w:r>
                    <w:rPr>
                      <w:rFonts w:ascii="Times New Roman" w:hAnsi="Times New Roman"/>
                      <w:sz w:val="16"/>
                      <w:szCs w:val="16"/>
                    </w:rPr>
                    <w:t xml:space="preserve">5433</w:t>
                  </w:r>
                </w:p>
              </w:tc>
              <w:tc>
                <w:p>
                  <w:pPr>
                    <w:jc w:val="left"/>
                    <w:spacing w:before="0" w:after="38100"/>
                  </w:pPr>
                  <w:r>
                    <w:rPr>
                      <w:rFonts w:ascii="Times New Roman" w:hAnsi="Times New Roman"/>
                      <w:sz w:val="16"/>
                      <w:szCs w:val="16"/>
                    </w:rPr>
                    <w:t xml:space="preserve">&lt; 4.000.000.000</w:t>
                  </w:r>
                </w:p>
              </w:tc>
            </w:tr>
            <w:tr>
              <w:tc>
                <w:p>
                  <w:pPr>
                    <w:jc w:val="left"/>
                    <w:spacing w:before="0" w:after="38100"/>
                  </w:pPr>
                  <w:r>
                    <w:rPr>
                      <w:rFonts w:ascii="Times New Roman" w:hAnsi="Times New Roman"/>
                      <w:sz w:val="16"/>
                      <w:szCs w:val="16"/>
                    </w:rPr>
                    <w:t xml:space="preserve">pg_nodo2</w:t>
                  </w:r>
                </w:p>
              </w:tc>
              <w:tc>
                <w:p>
                  <w:pPr>
                    <w:jc w:val="left"/>
                    <w:spacing w:before="0" w:after="38100"/>
                  </w:pPr>
                  <w:r>
                    <w:rPr>
                      <w:rFonts w:ascii="Times New Roman" w:hAnsi="Times New Roman"/>
                      <w:sz w:val="16"/>
                      <w:szCs w:val="16"/>
                    </w:rPr>
                    <w:t xml:space="preserve">Bogotá</w:t>
                  </w:r>
                </w:p>
              </w:tc>
              <w:tc>
                <w:p>
                  <w:pPr>
                    <w:jc w:val="left"/>
                    <w:spacing w:before="0" w:after="38100"/>
                  </w:pPr>
                  <w:r>
                    <w:rPr>
                      <w:rFonts w:ascii="Times New Roman" w:hAnsi="Times New Roman"/>
                      <w:sz w:val="16"/>
                      <w:szCs w:val="16"/>
                    </w:rPr>
                    <w:t xml:space="preserve">5434</w:t>
                  </w:r>
                </w:p>
              </w:tc>
              <w:tc>
                <w:p>
                  <w:pPr>
                    <w:jc w:val="left"/>
                    <w:spacing w:before="0" w:after="38100"/>
                  </w:pPr>
                  <w:r>
                    <w:rPr>
                      <w:rFonts w:ascii="Times New Roman" w:hAnsi="Times New Roman"/>
                      <w:sz w:val="16"/>
                      <w:szCs w:val="16"/>
                    </w:rPr>
                    <w:t xml:space="preserve">4B – 7B</w:t>
                  </w:r>
                </w:p>
              </w:tc>
            </w:tr>
            <w:tr>
              <w:tc>
                <w:p>
                  <w:pPr>
                    <w:jc w:val="left"/>
                    <w:spacing w:before="0" w:after="38100"/>
                  </w:pPr>
                  <w:r>
                    <w:rPr>
                      <w:rFonts w:ascii="Times New Roman" w:hAnsi="Times New Roman"/>
                      <w:sz w:val="16"/>
                      <w:szCs w:val="16"/>
                    </w:rPr>
                    <w:t xml:space="preserve">pg_nodo3</w:t>
                  </w:r>
                </w:p>
              </w:tc>
              <w:tc>
                <w:p>
                  <w:pPr>
                    <w:jc w:val="left"/>
                    <w:spacing w:before="0" w:after="38100"/>
                  </w:pPr>
                  <w:r>
                    <w:rPr>
                      <w:rFonts w:ascii="Times New Roman" w:hAnsi="Times New Roman"/>
                      <w:sz w:val="16"/>
                      <w:szCs w:val="16"/>
                    </w:rPr>
                    <w:t xml:space="preserve">Medellín</w:t>
                  </w:r>
                </w:p>
              </w:tc>
              <w:tc>
                <w:p>
                  <w:pPr>
                    <w:jc w:val="left"/>
                    <w:spacing w:before="0" w:after="38100"/>
                  </w:pPr>
                  <w:r>
                    <w:rPr>
                      <w:rFonts w:ascii="Times New Roman" w:hAnsi="Times New Roman"/>
                      <w:sz w:val="16"/>
                      <w:szCs w:val="16"/>
                    </w:rPr>
                    <w:t xml:space="preserve">5435</w:t>
                  </w:r>
                </w:p>
              </w:tc>
              <w:tc>
                <w:p>
                  <w:pPr>
                    <w:jc w:val="left"/>
                    <w:spacing w:before="0" w:after="38100"/>
                  </w:pPr>
                  <w:r>
                    <w:rPr>
                      <w:rFonts w:ascii="Times New Roman" w:hAnsi="Times New Roman"/>
                      <w:sz w:val="16"/>
                      <w:szCs w:val="16"/>
                    </w:rPr>
                    <w:t xml:space="preserve">≥ 7.000.000.000</w:t>
                  </w:r>
                </w:p>
              </w:tc>
            </w:tr>
          </w:tbl>
          <w:p>
            <w:pPr>
              <w:jc w:val="both"/>
              <w:spacing w:before="0" w:after="76200"/>
            </w:pPr>
            <w:r>
              <w:rPr>
                <w:rFonts w:ascii="Times New Roman" w:hAnsi="Times New Roman"/>
                <w:sz w:val="18"/>
                <w:szCs w:val="18"/>
              </w:rPr>
              <w:t xml:space="preserve">Cada sede opera con una instancia PostgreSQL 15 independiente. El sharding horizontal usa el número de documento de identidad como clave de partición, distribuyendo la carga según rangos históricos asignados por la RNEC:</w:t>
            </w:r>
          </w:p>
          <w:p>
            <w:pPr>
              <w:jc w:val="center"/>
              <w:spacing w:before="0" w:after="57150"/>
            </w:pPr>
            <w:r>
              <w:rPr>
                <w:rFonts w:ascii="Times New Roman" w:hAnsi="Times New Roman"/>
                <w:sz w:val="16"/>
                <w:szCs w:val="16"/>
                <w:i/>
                <w:iCs/>
              </w:rPr>
              <w:t xml:space="preserve">Tabla II. Nodos PostgreSQL y rangos de sharding por documento.</w:t>
            </w:r>
          </w:p>
          <w:p>
            <w:pPr>
              <w:jc w:val="both"/>
              <w:spacing w:before="0" w:after="76200"/>
            </w:pPr>
            <w:r>
              <w:rPr>
                <w:rFonts w:ascii="Times New Roman" w:hAnsi="Times New Roman"/>
                <w:sz w:val="18"/>
                <w:szCs w:val="18"/>
              </w:rPr>
              <w:t xml:space="preserve">pg_nodo1 aloja además la base de datos fhir_db utilizada por el servidor HAPI FHIR. El Sync Service conecta adicionalmente a pg_nodo1 para gestionar la tabla event_outbox centralizada. Cada nodo tiene volumen persistente (pg_data_nodo1/2/3) y healthcheck pg_isready con reintentos automáticos. La consistencia transaccional local es garantizada por PostgreSQL; la consistencia inter-nodo es eventual, gestionada por el patrón Outbox.</w:t>
            </w:r>
          </w:p>
          <w:p>
            <w:pPr>
              <w:jc w:val="left"/>
              <w:spacing w:before="190500" w:after="57150"/>
            </w:pPr>
            <w:r>
              <w:rPr>
                <w:rFonts w:ascii="Times New Roman" w:hAnsi="Times New Roman"/>
                <w:sz w:val="20"/>
                <w:szCs w:val="20"/>
                <w:b/>
                <w:bCs/>
              </w:rPr>
              <w:t xml:space="preserve">V. INTEROPERABILIDAD FHIR R4</w:t>
            </w:r>
          </w:p>
          <w:p>
            <w:pPr>
              <w:jc w:val="both"/>
              <w:spacing w:before="0" w:after="76200"/>
            </w:pPr>
            <w:r>
              <w:rPr>
                <w:rFonts w:ascii="Times New Roman" w:hAnsi="Times New Roman"/>
                <w:sz w:val="18"/>
                <w:szCs w:val="18"/>
              </w:rPr>
              <w:t xml:space="preserve">El sistema implementa cinco recursos HL7 FHIR R4 (v4.0.1) que cubren el ciclo completo de atención clínica:</w:t>
            </w:r>
          </w:p>
          <w:p>
            <w:pPr>
              <w:jc w:val="left"/>
              <w:spacing w:before="95250" w:after="38100"/>
            </w:pPr>
            <w:r>
              <w:rPr>
                <w:rFonts w:ascii="Times New Roman" w:hAnsi="Times New Roman"/>
                <w:sz w:val="18"/>
                <w:szCs w:val="18"/>
                <w:b/>
                <w:bCs/>
                <w:i/>
                <w:iCs/>
              </w:rPr>
              <w:t xml:space="preserve">Patient</w:t>
            </w:r>
          </w:p>
          <w:p>
            <w:pPr>
              <w:jc w:val="both"/>
              <w:spacing w:before="0" w:after="57150"/>
            </w:pPr>
            <w:r>
              <w:rPr>
                <w:rFonts w:ascii="Times New Roman" w:hAnsi="Times New Roman"/>
                <w:sz w:val="18"/>
                <w:szCs w:val="18"/>
              </w:rPr>
              <w:t xml:space="preserve">Identificador con tipos colombianos (CC, TI, CE), nombre (given + family), gender según código FHIR, birthDate, address con municipio DANE, y extensiones para sede, EPS y régimen de salud.</w:t>
            </w:r>
          </w:p>
          <w:p>
            <w:pPr>
              <w:jc w:val="left"/>
              <w:spacing w:before="95250" w:after="38100"/>
            </w:pPr>
            <w:r>
              <w:rPr>
                <w:rFonts w:ascii="Times New Roman" w:hAnsi="Times New Roman"/>
                <w:sz w:val="18"/>
                <w:szCs w:val="18"/>
                <w:b/>
                <w:bCs/>
                <w:i/>
                <w:iCs/>
              </w:rPr>
              <w:t xml:space="preserve">Encounter</w:t>
            </w:r>
          </w:p>
          <w:p>
            <w:pPr>
              <w:jc w:val="both"/>
              <w:spacing w:before="0" w:after="57150"/>
            </w:pPr>
            <w:r>
              <w:rPr>
                <w:rFonts w:ascii="Times New Roman" w:hAnsi="Times New Roman"/>
                <w:sz w:val="18"/>
                <w:szCs w:val="18"/>
              </w:rPr>
              <w:t xml:space="preserve">Episodio de atención: status (in-progress / finished), class (emergency / ambulatory), subject referenciando al Patient, period con fechas y reasonCode con motivo de consulta.</w:t>
            </w:r>
          </w:p>
          <w:p>
            <w:pPr>
              <w:jc w:val="left"/>
              <w:spacing w:before="95250" w:after="38100"/>
            </w:pPr>
            <w:r>
              <w:rPr>
                <w:rFonts w:ascii="Times New Roman" w:hAnsi="Times New Roman"/>
                <w:sz w:val="18"/>
                <w:szCs w:val="18"/>
                <w:b/>
                <w:bCs/>
                <w:i/>
                <w:iCs/>
              </w:rPr>
              <w:t xml:space="preserve">Observation</w:t>
            </w:r>
          </w:p>
          <w:p>
            <w:pPr>
              <w:jc w:val="both"/>
              <w:spacing w:before="0" w:after="57150"/>
            </w:pPr>
            <w:r>
              <w:rPr>
                <w:rFonts w:ascii="Times New Roman" w:hAnsi="Times New Roman"/>
                <w:sz w:val="18"/>
                <w:szCs w:val="18"/>
              </w:rPr>
              <w:t xml:space="preserve">Un recurso por cada signo vital: presión arterial, frecuencia cardíaca, frecuencia respiratoria, temperatura, SpO2, peso y talla. Código LOINC, valueQuantity con unidades UCUM. Una Observation adicional registra el nivel de triage (I al V).</w:t>
            </w:r>
          </w:p>
          <w:p>
            <w:pPr>
              <w:jc w:val="left"/>
              <w:spacing w:before="95250" w:after="38100"/>
            </w:pPr>
            <w:r>
              <w:rPr>
                <w:rFonts w:ascii="Times New Roman" w:hAnsi="Times New Roman"/>
                <w:sz w:val="18"/>
                <w:szCs w:val="18"/>
                <w:b/>
                <w:bCs/>
                <w:i/>
                <w:iCs/>
              </w:rPr>
              <w:t xml:space="preserve">Condition y MedicationRequest</w:t>
            </w:r>
          </w:p>
          <w:p>
            <w:pPr>
              <w:jc w:val="both"/>
              <w:spacing w:before="0" w:after="76200"/>
            </w:pPr>
            <w:r>
              <w:rPr>
                <w:rFonts w:ascii="Times New Roman" w:hAnsi="Times New Roman"/>
                <w:sz w:val="18"/>
                <w:szCs w:val="18"/>
              </w:rPr>
              <w:t xml:space="preserve">Condition: código CIE-10 (http://hl7.org/fhir/sid/icd-10), clinicalStatus, verificationStatus, subject y recorder. MedicationRequest: medicationCodeableConcept, dosageInstruction con dosis, frecuencia, vía y duración del tratamiento.</w:t>
            </w:r>
          </w:p>
          <w:p>
            <w:pPr>
              <w:jc w:val="center"/>
              <w:spacing w:before="57150" w:after="38100"/>
            </w:pPr>
            <w:r>
              <w:rPr>
                <w:rFonts w:ascii="Times New Roman" w:hAnsi="Times New Roman"/>
                <w:sz w:val="16"/>
                <w:szCs w:val="16"/>
                <w:i/>
                <w:iCs/>
              </w:rPr>
              <w:t xml:space="preserve">[Insertar Figura 2: Flujo de transformación al formato FHIR R4 y carga en HAPI FHIR]</w:t>
            </w:r>
          </w:p>
          <w:p>
            <w:pPr>
              <w:jc w:val="center"/>
              <w:spacing w:before="0" w:after="76200"/>
            </w:pPr>
            <w:r>
              <w:rPr>
                <w:rFonts w:ascii="Times New Roman" w:hAnsi="Times New Roman"/>
                <w:sz w:val="16"/>
                <w:szCs w:val="16"/>
                <w:i/>
                <w:iCs/>
              </w:rPr>
              <w:t xml:space="preserve">Fig. 2. Flujo de transformación al formato FHIR R4 y carga en HAPI FHIR.</w:t>
            </w:r>
          </w:p>
        </w:tc>
        <w:tc>
          <w:tcPr>
            <w:tcW w:type="dxa" w:w="4500"/>
            <w:tcBorders>
              <w:top w:val="none" w:color="FFFFFF" w:sz="0"/>
              <w:left w:val="none" w:color="FFFFFF" w:sz="0"/>
              <w:bottom w:val="none" w:color="FFFFFF" w:sz="0"/>
              <w:right w:val="none" w:color="FFFFFF" w:sz="0"/>
            </w:tcBorders>
            <w:tcMar>
              <w:top w:type="dxa" w:w="0"/>
              <w:left w:type="dxa" w:w="180"/>
              <w:bottom w:type="dxa" w:w="0"/>
              <w:right w:type="dxa" w:w="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tblGrid>
            <w:tr>
              <w:trPr>
                <w:tblHeader/>
              </w:trPr>
              <w:tc>
                <w:tcPr>
                  <w:tcW w:type="dxa" w:w="1500"/>
                  <w:tcBorders>
                    <w:top w:val="single" w:color="FFFFFF" w:sz="4"/>
                    <w:left w:val="single" w:color="FFFFFF" w:sz="2"/>
                    <w:bottom w:val="single" w:color="FFFFFF" w:sz="4"/>
                    <w:right w:val="single" w:color="FFFFFF" w:sz="2"/>
                  </w:tcBorders>
                  <w:shd w:fill="003399"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Herramienta</w:t>
                  </w:r>
                </w:p>
              </w:tc>
              <w:tc>
                <w:tcPr>
                  <w:tcW w:type="dxa" w:w="1500"/>
                  <w:tcBorders>
                    <w:top w:val="single" w:color="FFFFFF" w:sz="4"/>
                    <w:left w:val="single" w:color="FFFFFF" w:sz="2"/>
                    <w:bottom w:val="single" w:color="FFFFFF" w:sz="4"/>
                    <w:right w:val="single" w:color="FFFFFF" w:sz="2"/>
                  </w:tcBorders>
                  <w:shd w:fill="003399"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Protocolo</w:t>
                  </w:r>
                </w:p>
              </w:tc>
              <w:tc>
                <w:tcPr>
                  <w:tcW w:type="dxa" w:w="1500"/>
                  <w:tcBorders>
                    <w:top w:val="single" w:color="FFFFFF" w:sz="4"/>
                    <w:left w:val="single" w:color="FFFFFF" w:sz="2"/>
                    <w:bottom w:val="single" w:color="FFFFFF" w:sz="4"/>
                    <w:right w:val="single" w:color="FFFFFF" w:sz="2"/>
                  </w:tcBorders>
                  <w:shd w:fill="003399"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6"/>
                      <w:szCs w:val="16"/>
                    </w:rPr>
                    <w:t xml:space="preserve">Uso</w:t>
                  </w:r>
                </w:p>
              </w:tc>
            </w:tr>
            <w:tr>
              <w:tc>
                <w:tcPr>
                  <w:tcW w:type="dxa" w:w="1500"/>
                  <w:tcBorders>
                    <w:top w:val="single" w:color="CCCCCC" w:sz="2"/>
                    <w:left w:val="single" w:color="CCCCCC" w:sz="2"/>
                    <w:bottom w:val="single" w:color="CCCCCC" w:sz="2"/>
                    <w:right w:val="single" w:color="CCCCCC" w:sz="2"/>
                  </w:tcBorders>
                  <w:tcMar>
                    <w:top w:type="dxa" w:w="40"/>
                    <w:left w:type="dxa" w:w="80"/>
                    <w:bottom w:type="dxa" w:w="40"/>
                    <w:right w:type="dxa" w:w="80"/>
                  </w:tcMar>
                </w:tcPr>
                <w:p>
                  <w:r>
                    <w:rPr>
                      <w:rFonts w:ascii="Times New Roman" w:cs="Times New Roman" w:eastAsia="Times New Roman" w:hAnsi="Times New Roman"/>
                      <w:sz w:val="16"/>
                      <w:szCs w:val="16"/>
                    </w:rPr>
                    <w:t xml:space="preserve">HAPI FHIR</w:t>
                  </w:r>
                </w:p>
              </w:tc>
              <w:tc>
                <w:tcPr>
                  <w:tcW w:type="dxa" w:w="1500"/>
                  <w:tcBorders>
                    <w:top w:val="single" w:color="CCCCCC" w:sz="2"/>
                    <w:left w:val="single" w:color="CCCCCC" w:sz="2"/>
                    <w:bottom w:val="single" w:color="CCCCCC" w:sz="2"/>
                    <w:right w:val="single" w:color="CCCCCC" w:sz="2"/>
                  </w:tcBorders>
                  <w:tcMar>
                    <w:top w:type="dxa" w:w="40"/>
                    <w:left w:type="dxa" w:w="80"/>
                    <w:bottom w:type="dxa" w:w="40"/>
                    <w:right w:type="dxa" w:w="80"/>
                  </w:tcMar>
                </w:tcPr>
                <w:p>
                  <w:r>
                    <w:rPr>
                      <w:rFonts w:ascii="Times New Roman" w:cs="Times New Roman" w:eastAsia="Times New Roman" w:hAnsi="Times New Roman"/>
                      <w:sz w:val="16"/>
                      <w:szCs w:val="16"/>
                    </w:rPr>
                    <w:t xml:space="preserve">REST/JSON</w:t>
                  </w:r>
                </w:p>
              </w:tc>
              <w:tc>
                <w:tcPr>
                  <w:tcW w:type="dxa" w:w="1500"/>
                  <w:tcBorders>
                    <w:top w:val="single" w:color="CCCCCC" w:sz="2"/>
                    <w:left w:val="single" w:color="CCCCCC" w:sz="2"/>
                    <w:bottom w:val="single" w:color="CCCCCC" w:sz="2"/>
                    <w:right w:val="single" w:color="CCCCCC" w:sz="2"/>
                  </w:tcBorders>
                  <w:tcMar>
                    <w:top w:type="dxa" w:w="40"/>
                    <w:left w:type="dxa" w:w="80"/>
                    <w:bottom w:type="dxa" w:w="40"/>
                    <w:right w:type="dxa" w:w="80"/>
                  </w:tcMar>
                </w:tcPr>
                <w:p>
                  <w:r>
                    <w:rPr>
                      <w:rFonts w:ascii="Times New Roman" w:cs="Times New Roman" w:eastAsia="Times New Roman" w:hAnsi="Times New Roman"/>
                      <w:sz w:val="16"/>
                      <w:szCs w:val="16"/>
                    </w:rPr>
                    <w:t xml:space="preserve">HCE</w:t>
                  </w:r>
                </w:p>
              </w:tc>
            </w:tr>
            <w:tr>
              <w:tc>
                <w:tcPr>
                  <w:tcW w:type="dxa" w:w="1500"/>
                  <w:tcBorders>
                    <w:top w:val="single" w:color="CCCCCC" w:sz="2"/>
                    <w:left w:val="single" w:color="CCCCCC" w:sz="2"/>
                    <w:bottom w:val="single" w:color="CCCCCC" w:sz="2"/>
                    <w:right w:val="single" w:color="CCCCCC" w:sz="2"/>
                  </w:tcBorders>
                  <w:tcMar>
                    <w:top w:type="dxa" w:w="40"/>
                    <w:left w:type="dxa" w:w="80"/>
                    <w:bottom w:type="dxa" w:w="40"/>
                    <w:right w:type="dxa" w:w="80"/>
                  </w:tcMar>
                </w:tcPr>
                <w:p>
                  <w:r>
                    <w:rPr>
                      <w:rFonts w:ascii="Times New Roman" w:cs="Times New Roman" w:eastAsia="Times New Roman" w:hAnsi="Times New Roman"/>
                      <w:sz w:val="16"/>
                      <w:szCs w:val="16"/>
                    </w:rPr>
                    <w:t xml:space="preserve">Kafka</w:t>
                  </w:r>
                </w:p>
              </w:tc>
              <w:tc>
                <w:tcPr>
                  <w:tcW w:type="dxa" w:w="1500"/>
                  <w:tcBorders>
                    <w:top w:val="single" w:color="CCCCCC" w:sz="2"/>
                    <w:left w:val="single" w:color="CCCCCC" w:sz="2"/>
                    <w:bottom w:val="single" w:color="CCCCCC" w:sz="2"/>
                    <w:right w:val="single" w:color="CCCCCC" w:sz="2"/>
                  </w:tcBorders>
                  <w:tcMar>
                    <w:top w:type="dxa" w:w="40"/>
                    <w:left w:type="dxa" w:w="80"/>
                    <w:bottom w:type="dxa" w:w="40"/>
                    <w:right w:type="dxa" w:w="80"/>
                  </w:tcMar>
                </w:tcPr>
                <w:p>
                  <w:r>
                    <w:rPr>
                      <w:rFonts w:ascii="Times New Roman" w:cs="Times New Roman" w:eastAsia="Times New Roman" w:hAnsi="Times New Roman"/>
                      <w:sz w:val="16"/>
                      <w:szCs w:val="16"/>
                    </w:rPr>
                    <w:t xml:space="preserve">Pub/Sub</w:t>
                  </w:r>
                </w:p>
              </w:tc>
              <w:tc>
                <w:tcPr>
                  <w:tcW w:type="dxa" w:w="1500"/>
                  <w:tcBorders>
                    <w:top w:val="single" w:color="CCCCCC" w:sz="2"/>
                    <w:left w:val="single" w:color="CCCCCC" w:sz="2"/>
                    <w:bottom w:val="single" w:color="CCCCCC" w:sz="2"/>
                    <w:right w:val="single" w:color="CCCCCC" w:sz="2"/>
                  </w:tcBorders>
                  <w:tcMar>
                    <w:top w:type="dxa" w:w="40"/>
                    <w:left w:type="dxa" w:w="80"/>
                    <w:bottom w:type="dxa" w:w="40"/>
                    <w:right w:type="dxa" w:w="80"/>
                  </w:tcMar>
                </w:tcPr>
                <w:p>
                  <w:r>
                    <w:rPr>
                      <w:rFonts w:ascii="Times New Roman" w:cs="Times New Roman" w:eastAsia="Times New Roman" w:hAnsi="Times New Roman"/>
                      <w:sz w:val="16"/>
                      <w:szCs w:val="16"/>
                    </w:rPr>
                    <w:t xml:space="preserve">Mensajería</w:t>
                  </w:r>
                </w:p>
              </w:tc>
            </w:tr>
            <w:tr>
              <w:tc>
                <w:tcPr>
                  <w:tcW w:type="dxa" w:w="1500"/>
                  <w:tcBorders>
                    <w:top w:val="single" w:color="CCCCCC" w:sz="2"/>
                    <w:left w:val="single" w:color="CCCCCC" w:sz="2"/>
                    <w:bottom w:val="single" w:color="CCCCCC" w:sz="2"/>
                    <w:right w:val="single" w:color="CCCCCC" w:sz="2"/>
                  </w:tcBorders>
                  <w:tcMar>
                    <w:top w:type="dxa" w:w="40"/>
                    <w:left w:type="dxa" w:w="80"/>
                    <w:bottom w:type="dxa" w:w="40"/>
                    <w:right w:type="dxa" w:w="80"/>
                  </w:tcMar>
                </w:tcPr>
                <w:p>
                  <w:r>
                    <w:rPr>
                      <w:rFonts w:ascii="Times New Roman" w:cs="Times New Roman" w:eastAsia="Times New Roman" w:hAnsi="Times New Roman"/>
                      <w:sz w:val="16"/>
                      <w:szCs w:val="16"/>
                    </w:rPr>
                    <w:t xml:space="preserve">Kubernetes</w:t>
                  </w:r>
                </w:p>
              </w:tc>
              <w:tc>
                <w:tcPr>
                  <w:tcW w:type="dxa" w:w="1500"/>
                  <w:tcBorders>
                    <w:top w:val="single" w:color="CCCCCC" w:sz="2"/>
                    <w:left w:val="single" w:color="CCCCCC" w:sz="2"/>
                    <w:bottom w:val="single" w:color="CCCCCC" w:sz="2"/>
                    <w:right w:val="single" w:color="CCCCCC" w:sz="2"/>
                  </w:tcBorders>
                  <w:tcMar>
                    <w:top w:type="dxa" w:w="40"/>
                    <w:left w:type="dxa" w:w="80"/>
                    <w:bottom w:type="dxa" w:w="40"/>
                    <w:right w:type="dxa" w:w="80"/>
                  </w:tcMar>
                </w:tcPr>
                <w:p>
                  <w:r>
                    <w:rPr>
                      <w:rFonts w:ascii="Times New Roman" w:cs="Times New Roman" w:eastAsia="Times New Roman" w:hAnsi="Times New Roman"/>
                      <w:sz w:val="16"/>
                      <w:szCs w:val="16"/>
                    </w:rPr>
                    <w:t xml:space="preserve">gRPC</w:t>
                  </w:r>
                </w:p>
              </w:tc>
              <w:tc>
                <w:tcPr>
                  <w:tcW w:type="dxa" w:w="1500"/>
                  <w:tcBorders>
                    <w:top w:val="single" w:color="CCCCCC" w:sz="2"/>
                    <w:left w:val="single" w:color="CCCCCC" w:sz="2"/>
                    <w:bottom w:val="single" w:color="CCCCCC" w:sz="2"/>
                    <w:right w:val="single" w:color="CCCCCC" w:sz="2"/>
                  </w:tcBorders>
                  <w:tcMar>
                    <w:top w:type="dxa" w:w="40"/>
                    <w:left w:type="dxa" w:w="80"/>
                    <w:bottom w:type="dxa" w:w="40"/>
                    <w:right w:type="dxa" w:w="80"/>
                  </w:tcMar>
                </w:tcPr>
                <w:p>
                  <w:r>
                    <w:rPr>
                      <w:rFonts w:ascii="Times New Roman" w:cs="Times New Roman" w:eastAsia="Times New Roman" w:hAnsi="Times New Roman"/>
                      <w:sz w:val="16"/>
                      <w:szCs w:val="16"/>
                    </w:rPr>
                    <w:t xml:space="preserve">Orquestación</w:t>
                  </w:r>
                </w:p>
              </w:tc>
            </w:tr>
          </w:tbl>
          <w:p/>
          <w:p>
            <w:pPr>
              <w:jc w:val="left"/>
              <w:spacing w:before="0" w:after="57150"/>
            </w:pPr>
            <w:r>
              <w:rPr>
                <w:rFonts w:ascii="Times New Roman" w:hAnsi="Times New Roman"/>
                <w:sz w:val="20"/>
                <w:szCs w:val="20"/>
                <w:b/>
                <w:bCs/>
              </w:rPr>
              <w:t xml:space="preserve">VI. SINCRONIZACIÓN CON HAPI FHIR</w:t>
            </w:r>
          </w:p>
          <w:p>
            <w:pPr>
              <w:jc w:val="both"/>
              <w:spacing w:before="0" w:after="76200"/>
            </w:pPr>
            <w:r>
              <w:rPr>
                <w:rFonts w:ascii="Times New Roman" w:hAnsi="Times New Roman"/>
                <w:sz w:val="18"/>
                <w:szCs w:val="18"/>
              </w:rPr>
              <w:t xml:space="preserve">El servidor HAPI FHIR R4 (hapiproject/hapi:latest, puerto 8080) actúa como repositorio central de interoperabilidad. Almacena su propia base de datos en fhir_db (pg_nodo1). El endpoint GET /fhir/metadata retorna el Capability Statement R4. Los endpoints CRUD siguen el patrón REST FHIR: GET /fhir/Patient, POST /fhir/Patient, GET /fhir/Patient/{id}.</w:t>
            </w:r>
          </w:p>
          <w:p>
            <w:pPr>
              <w:jc w:val="both"/>
              <w:spacing w:before="0" w:after="76200"/>
            </w:pPr>
            <w:r>
              <w:rPr>
                <w:rFonts w:ascii="Times New Roman" w:hAnsi="Times New Roman"/>
                <w:sz w:val="18"/>
                <w:szCs w:val="18"/>
              </w:rPr>
              <w:t xml:space="preserve">El flujo de sincronización es: (1) operación clínica en nodo local; (2) INSERT atómico en event_outbox (status=pending); (3) OutboxPoller (cada 5 s) lee los pendientes; (4) transforma el evento al recurso FHIR correspondiente; (5) POST/PUT a la API HAPI FHIR; (6) UPDATE event_outbox SET status='processed' con timestamp. Tiempo de propagación promedio: 5.2 s. Tasa de entrega: 100%.</w:t>
            </w:r>
          </w:p>
          <w:p>
            <w:pPr>
              <w:jc w:val="both"/>
              <w:spacing w:before="0" w:after="76200"/>
            </w:pPr>
            <w:r>
              <w:rPr>
                <w:rFonts w:ascii="Times New Roman" w:hAnsi="Times New Roman"/>
                <w:sz w:val="18"/>
                <w:szCs w:val="18"/>
              </w:rPr>
              <w:t xml:space="preserve">La consulta interoperable cross-sede utiliza GET /fhir/Patient?identifier=CC|{documento} para localizar pacientes de otras sedes. La importación recupera el bundle FHIR completo e inserta los recursos en el nodo destino (~800 ms). Este mecanismo garantiza continuidad de atención cuando el paciente se presenta en una sede diferente a la de su registro original.</w:t>
            </w:r>
          </w:p>
          <w:p>
            <w:pPr>
              <w:jc w:val="left"/>
              <w:spacing w:before="190500" w:after="57150"/>
            </w:pPr>
            <w:r>
              <w:rPr>
                <w:rFonts w:ascii="Times New Roman" w:hAnsi="Times New Roman"/>
                <w:sz w:val="20"/>
                <w:szCs w:val="20"/>
                <w:b/>
                <w:bCs/>
              </w:rPr>
              <w:t xml:space="preserve">VII. PATRÓN OUTBOX Y RABBITMQ</w:t>
            </w:r>
          </w:p>
          <w:p>
            <w:pPr>
              <w:jc w:val="left"/>
              <w:spacing w:before="95250" w:after="38100"/>
            </w:pPr>
            <w:r>
              <w:rPr>
                <w:rFonts w:ascii="Times New Roman" w:hAnsi="Times New Roman"/>
                <w:sz w:val="18"/>
                <w:szCs w:val="18"/>
                <w:b/>
                <w:bCs/>
                <w:i/>
                <w:iCs/>
              </w:rPr>
              <w:t xml:space="preserve">A. Transactional Outbox</w:t>
            </w:r>
          </w:p>
          <w:p>
            <w:pPr>
              <w:jc w:val="both"/>
              <w:spacing w:before="0" w:after="76200"/>
            </w:pPr>
            <w:r>
              <w:rPr>
                <w:rFonts w:ascii="Times New Roman" w:hAnsi="Times New Roman"/>
                <w:sz w:val="18"/>
                <w:szCs w:val="18"/>
              </w:rPr>
              <w:t xml:space="preserve">La tabla event_outbox almacena: event_id (UUID), event_type (patient.created, encounter.created, etc.), source (sede), data (JSON del recurso FHIR), status (pending / processed / failed), created_at, published_at y error_message. El INSERT en la tabla clínica y el INSERT en event_outbox se ejecutan dentro de la misma transacción PostgreSQL, garantizando atomicidad: nunca se registra una operación clínica sin su evento correspondiente.</w:t>
            </w:r>
          </w:p>
          <w:p>
            <w:pPr>
              <w:jc w:val="left"/>
              <w:spacing w:before="95250" w:after="38100"/>
            </w:pPr>
            <w:r>
              <w:rPr>
                <w:rFonts w:ascii="Times New Roman" w:hAnsi="Times New Roman"/>
                <w:sz w:val="18"/>
                <w:szCs w:val="18"/>
                <w:b/>
                <w:bCs/>
                <w:i/>
                <w:iCs/>
              </w:rPr>
              <w:t xml:space="preserve">B. RabbitMQ — Mensajería Asíncrona</w:t>
            </w:r>
          </w:p>
          <w:p>
            <w:pPr>
              <w:jc w:val="both"/>
              <w:spacing w:before="0" w:after="76200"/>
            </w:pPr>
            <w:r>
              <w:rPr>
                <w:rFonts w:ascii="Times New Roman" w:hAnsi="Times New Roman"/>
                <w:sz w:val="18"/>
                <w:szCs w:val="18"/>
              </w:rPr>
              <w:t xml:space="preserve">RabbitMQ (rabbitmq:3-management) opera con exchanges de tipo topic. Routing keys: patient.created, patient.updated, encounter.created, observation.created, condition.created, medication.created. El plugin rabbitmq_prometheus expone métricas en el puerto 15692. Los 10 consumers del Sync Service se suscriben a patrones de routing key y procesan mensajes de forma asíncrona. El idempotency_store con Redis previene duplicación ante re-entregas.</w:t>
            </w:r>
          </w:p>
          <w:p>
            <w:pPr>
              <w:jc w:val="center"/>
              <w:spacing w:before="57150" w:after="38100"/>
            </w:pPr>
            <w:r>
              <w:rPr>
                <w:rFonts w:ascii="Times New Roman" w:hAnsi="Times New Roman"/>
                <w:sz w:val="16"/>
                <w:szCs w:val="16"/>
                <w:i/>
                <w:iCs/>
              </w:rPr>
              <w:t xml:space="preserve">[Insertar Figura 3: Diagrama del patrón Outbox: flujo pending → RabbitMQ → HAPI FHIR → processed]</w:t>
            </w:r>
          </w:p>
          <w:p>
            <w:pPr>
              <w:jc w:val="center"/>
              <w:spacing w:before="0" w:after="76200"/>
            </w:pPr>
            <w:r>
              <w:rPr>
                <w:rFonts w:ascii="Times New Roman" w:hAnsi="Times New Roman"/>
                <w:sz w:val="16"/>
                <w:szCs w:val="16"/>
                <w:i/>
                <w:iCs/>
              </w:rPr>
              <w:t xml:space="preserve">Fig. 3. Diagrama del patrón Outbox: flujo pending → RabbitMQ → HAPI FHIR → processed.</w:t>
            </w:r>
          </w:p>
          <w:p>
            <w:pPr>
              <w:jc w:val="left"/>
              <w:spacing w:before="190500" w:after="57150"/>
            </w:pPr>
            <w:r>
              <w:rPr>
                <w:rFonts w:ascii="Times New Roman" w:hAnsi="Times New Roman"/>
                <w:sz w:val="20"/>
                <w:szCs w:val="20"/>
                <w:b/>
                <w:bCs/>
              </w:rPr>
              <w:t xml:space="preserve">VIII. TOLERANCIA A FALLOS</w:t>
            </w:r>
          </w:p>
          <w:p>
            <w:pPr>
              <w:jc w:val="both"/>
              <w:spacing w:before="0" w:after="76200"/>
            </w:pPr>
            <w:r>
              <w:rPr>
                <w:rFonts w:ascii="Times New Roman" w:hAnsi="Times New Roman"/>
                <w:sz w:val="18"/>
                <w:szCs w:val="18"/>
              </w:rPr>
              <w:t xml:space="preserve">El sistema implementa múltiples capas de tolerancia:</w:t>
            </w:r>
          </w:p>
          <w:p>
            <w:pPr>
              <w:jc w:val="left"/>
              <w:spacing w:before="95250" w:after="38100"/>
            </w:pPr>
            <w:r>
              <w:rPr>
                <w:rFonts w:ascii="Times New Roman" w:hAnsi="Times New Roman"/>
                <w:sz w:val="18"/>
                <w:szCs w:val="18"/>
                <w:b/>
                <w:bCs/>
                <w:i/>
                <w:iCs/>
              </w:rPr>
              <w:t xml:space="preserve">A. Simulación de Caída de Nodo</w:t>
            </w:r>
          </w:p>
          <w:p>
            <w:pPr>
              <w:jc w:val="both"/>
              <w:spacing w:before="0" w:after="57150"/>
            </w:pPr>
            <w:r>
              <w:rPr>
                <w:rFonts w:ascii="Times New Roman" w:hAnsi="Times New Roman"/>
                <w:sz w:val="18"/>
                <w:szCs w:val="18"/>
              </w:rPr>
              <w:t xml:space="preserve">El endpoint POST /api/nodes/{sede}/fail cambia el estado del nodo a OFFLINE en el mapa nodes_state del Gateway Service. Desde ese momento, todas las solicitudes de creación para esa sede retornan HTTP 503 con mensaje descriptivo, sin intentar conectarse a la BD y evitando timeouts. Los nodos restantes operan normalmente.</w:t>
            </w:r>
          </w:p>
          <w:p>
            <w:pPr>
              <w:jc w:val="left"/>
              <w:spacing w:before="95250" w:after="38100"/>
            </w:pPr>
            <w:r>
              <w:rPr>
                <w:rFonts w:ascii="Times New Roman" w:hAnsi="Times New Roman"/>
                <w:sz w:val="18"/>
                <w:szCs w:val="18"/>
                <w:b/>
                <w:bCs/>
                <w:i/>
                <w:iCs/>
              </w:rPr>
              <w:t xml:space="preserve">B. Continuidad Operativa</w:t>
            </w:r>
          </w:p>
          <w:p>
            <w:pPr>
              <w:jc w:val="both"/>
              <w:spacing w:before="0" w:after="57150"/>
            </w:pPr>
            <w:r>
              <w:rPr>
                <w:rFonts w:ascii="Times New Roman" w:hAnsi="Times New Roman"/>
                <w:sz w:val="18"/>
                <w:szCs w:val="18"/>
              </w:rPr>
              <w:t xml:space="preserve">Mientras una sede está OFFLINE, las demás sedes mantienen funcionalidad completa. Los eventos generados en sedes activas se sincronizan normalmente con HAPI FHIR. El dashboard muestra el estado real de cada nodo con indicadores verde/rojo.</w:t>
            </w:r>
          </w:p>
          <w:p>
            <w:pPr>
              <w:jc w:val="left"/>
              <w:spacing w:before="95250" w:after="38100"/>
            </w:pPr>
            <w:r>
              <w:rPr>
                <w:rFonts w:ascii="Times New Roman" w:hAnsi="Times New Roman"/>
                <w:sz w:val="18"/>
                <w:szCs w:val="18"/>
                <w:b/>
                <w:bCs/>
                <w:i/>
                <w:iCs/>
              </w:rPr>
              <w:t xml:space="preserve">C. Reintento Automático — Outbox</w:t>
            </w:r>
          </w:p>
          <w:p>
            <w:pPr>
              <w:jc w:val="both"/>
              <w:spacing w:before="0" w:after="57150"/>
            </w:pPr>
            <w:r>
              <w:rPr>
                <w:rFonts w:ascii="Times New Roman" w:hAnsi="Times New Roman"/>
                <w:sz w:val="18"/>
                <w:szCs w:val="18"/>
              </w:rPr>
              <w:t xml:space="preserve">Los eventos en estado pending se reintentan automáticamente en cada ciclo del OutboxPoller (cada 5 s). Al restaurar el nodo (POST /api/nodes/{sede}/restore), el backlog acumulado se procesa sin intervención manual en el siguiente ciclo.</w:t>
            </w:r>
          </w:p>
          <w:p>
            <w:pPr>
              <w:jc w:val="left"/>
              <w:spacing w:before="95250" w:after="38100"/>
            </w:pPr>
            <w:r>
              <w:rPr>
                <w:rFonts w:ascii="Times New Roman" w:hAnsi="Times New Roman"/>
                <w:sz w:val="18"/>
                <w:szCs w:val="18"/>
                <w:b/>
                <w:bCs/>
                <w:i/>
                <w:iCs/>
              </w:rPr>
              <w:t xml:space="preserve">D. Circuit Breaker para Cloud FHIR</w:t>
            </w:r>
          </w:p>
          <w:tbl>
            <w:tblPr>
              <w:tblW w:type="pct" w:w="4950"/>
              <w:tblBorders>
                <w:top w:val="single" w:sz="4" w:color="auto"/>
                <w:left w:val="single" w:sz="4" w:color="auto"/>
                <w:bottom w:val="single" w:sz="4" w:color="auto"/>
                <w:right w:val="single" w:sz="4" w:color="auto"/>
                <w:insideH w:val="single" w:sz="4" w:color="auto"/>
                <w:insideV w:val="single" w:sz="4" w:color="auto"/>
              </w:tblBorders>
            </w:tblPr>
            <w:tr>
              <w:tc>
                <w:p>
                  <w:pPr>
                    <w:jc w:val="left"/>
                    <w:spacing w:before="0" w:after="38100"/>
                  </w:pPr>
                  <w:r>
                    <w:rPr>
                      <w:rFonts w:ascii="Times New Roman" w:hAnsi="Times New Roman"/>
                      <w:sz w:val="16"/>
                      <w:szCs w:val="16"/>
                      <w:b/>
                      <w:bCs/>
                    </w:rPr>
                    <w:t xml:space="preserve">Escenario</w:t>
                  </w:r>
                </w:p>
              </w:tc>
              <w:tc>
                <w:p>
                  <w:pPr>
                    <w:jc w:val="left"/>
                    <w:spacing w:before="0" w:after="38100"/>
                  </w:pPr>
                  <w:r>
                    <w:rPr>
                      <w:rFonts w:ascii="Times New Roman" w:hAnsi="Times New Roman"/>
                      <w:sz w:val="16"/>
                      <w:szCs w:val="16"/>
                      <w:b/>
                      <w:bCs/>
                    </w:rPr>
                    <w:t xml:space="preserve">Comportamiento</w:t>
                  </w:r>
                </w:p>
              </w:tc>
              <w:tc>
                <w:p>
                  <w:pPr>
                    <w:jc w:val="left"/>
                    <w:spacing w:before="0" w:after="38100"/>
                  </w:pPr>
                  <w:r>
                    <w:rPr>
                      <w:rFonts w:ascii="Times New Roman" w:hAnsi="Times New Roman"/>
                      <w:sz w:val="16"/>
                      <w:szCs w:val="16"/>
                      <w:b/>
                      <w:bCs/>
                    </w:rPr>
                    <w:t xml:space="preserve">Estado</w:t>
                  </w:r>
                </w:p>
              </w:tc>
            </w:tr>
            <w:tr>
              <w:tc>
                <w:p>
                  <w:pPr>
                    <w:jc w:val="left"/>
                    <w:spacing w:before="0" w:after="38100"/>
                  </w:pPr>
                  <w:r>
                    <w:rPr>
                      <w:rFonts w:ascii="Times New Roman" w:hAnsi="Times New Roman"/>
                      <w:sz w:val="16"/>
                      <w:szCs w:val="16"/>
                    </w:rPr>
                    <w:t xml:space="preserve">Caída lógica sede Sincelejo</w:t>
                  </w:r>
                </w:p>
              </w:tc>
              <w:tc>
                <w:p>
                  <w:pPr>
                    <w:jc w:val="left"/>
                    <w:spacing w:before="0" w:after="38100"/>
                  </w:pPr>
                  <w:r>
                    <w:rPr>
                      <w:rFonts w:ascii="Times New Roman" w:hAnsi="Times New Roman"/>
                      <w:sz w:val="16"/>
                      <w:szCs w:val="16"/>
                    </w:rPr>
                    <w:t xml:space="preserve">Error 503 controlado</w:t>
                  </w:r>
                </w:p>
              </w:tc>
              <w:tc>
                <w:p>
                  <w:pPr>
                    <w:jc w:val="left"/>
                    <w:spacing w:before="0" w:after="38100"/>
                  </w:pPr>
                  <w:r>
                    <w:rPr>
                      <w:rFonts w:ascii="Times New Roman" w:hAnsi="Times New Roman"/>
                      <w:sz w:val="16"/>
                      <w:szCs w:val="16"/>
                    </w:rPr>
                    <w:t xml:space="preserve">OK</w:t>
                  </w:r>
                </w:p>
              </w:tc>
            </w:tr>
            <w:tr>
              <w:tc>
                <w:p>
                  <w:pPr>
                    <w:jc w:val="left"/>
                    <w:spacing w:before="0" w:after="38100"/>
                  </w:pPr>
                  <w:r>
                    <w:rPr>
                      <w:rFonts w:ascii="Times New Roman" w:hAnsi="Times New Roman"/>
                      <w:sz w:val="16"/>
                      <w:szCs w:val="16"/>
                    </w:rPr>
                    <w:t xml:space="preserve">Bogotá/Medellín con nodo OFF</w:t>
                  </w:r>
                </w:p>
              </w:tc>
              <w:tc>
                <w:p>
                  <w:pPr>
                    <w:jc w:val="left"/>
                    <w:spacing w:before="0" w:after="38100"/>
                  </w:pPr>
                  <w:r>
                    <w:rPr>
                      <w:rFonts w:ascii="Times New Roman" w:hAnsi="Times New Roman"/>
                      <w:sz w:val="16"/>
                      <w:szCs w:val="16"/>
                    </w:rPr>
                    <w:t xml:space="preserve">Operan normalmente</w:t>
                  </w:r>
                </w:p>
              </w:tc>
              <w:tc>
                <w:p>
                  <w:pPr>
                    <w:jc w:val="left"/>
                    <w:spacing w:before="0" w:after="38100"/>
                  </w:pPr>
                  <w:r>
                    <w:rPr>
                      <w:rFonts w:ascii="Times New Roman" w:hAnsi="Times New Roman"/>
                      <w:sz w:val="16"/>
                      <w:szCs w:val="16"/>
                    </w:rPr>
                    <w:t xml:space="preserve">OK</w:t>
                  </w:r>
                </w:p>
              </w:tc>
            </w:tr>
            <w:tr>
              <w:tc>
                <w:p>
                  <w:pPr>
                    <w:jc w:val="left"/>
                    <w:spacing w:before="0" w:after="38100"/>
                  </w:pPr>
                  <w:r>
                    <w:rPr>
                      <w:rFonts w:ascii="Times New Roman" w:hAnsi="Times New Roman"/>
                      <w:sz w:val="16"/>
                      <w:szCs w:val="16"/>
                    </w:rPr>
                    <w:t xml:space="preserve">Caída Cloud HAPI FHIR</w:t>
                  </w:r>
                </w:p>
              </w:tc>
              <w:tc>
                <w:p>
                  <w:pPr>
                    <w:jc w:val="left"/>
                    <w:spacing w:before="0" w:after="38100"/>
                  </w:pPr>
                  <w:r>
                    <w:rPr>
                      <w:rFonts w:ascii="Times New Roman" w:hAnsi="Times New Roman"/>
                      <w:sz w:val="16"/>
                      <w:szCs w:val="16"/>
                    </w:rPr>
                    <w:t xml:space="preserve">Circuit-breaker OPEN</w:t>
                  </w:r>
                </w:p>
              </w:tc>
              <w:tc>
                <w:p>
                  <w:pPr>
                    <w:jc w:val="left"/>
                    <w:spacing w:before="0" w:after="38100"/>
                  </w:pPr>
                  <w:r>
                    <w:rPr>
                      <w:rFonts w:ascii="Times New Roman" w:hAnsi="Times New Roman"/>
                      <w:sz w:val="16"/>
                      <w:szCs w:val="16"/>
                    </w:rPr>
                    <w:t xml:space="preserve">OK</w:t>
                  </w:r>
                </w:p>
              </w:tc>
            </w:tr>
            <w:tr>
              <w:tc>
                <w:p>
                  <w:pPr>
                    <w:jc w:val="left"/>
                    <w:spacing w:before="0" w:after="38100"/>
                  </w:pPr>
                  <w:r>
                    <w:rPr>
                      <w:rFonts w:ascii="Times New Roman" w:hAnsi="Times New Roman"/>
                      <w:sz w:val="16"/>
                      <w:szCs w:val="16"/>
                    </w:rPr>
                    <w:t xml:space="preserve">Restauración nodo</w:t>
                  </w:r>
                </w:p>
              </w:tc>
              <w:tc>
                <w:p>
                  <w:pPr>
                    <w:jc w:val="left"/>
                    <w:spacing w:before="0" w:after="38100"/>
                  </w:pPr>
                  <w:r>
                    <w:rPr>
                      <w:rFonts w:ascii="Times New Roman" w:hAnsi="Times New Roman"/>
                      <w:sz w:val="16"/>
                      <w:szCs w:val="16"/>
                    </w:rPr>
                    <w:t xml:space="preserve">Backlog en ≤ 5 s automático</w:t>
                  </w:r>
                </w:p>
              </w:tc>
              <w:tc>
                <w:p>
                  <w:pPr>
                    <w:jc w:val="left"/>
                    <w:spacing w:before="0" w:after="38100"/>
                  </w:pPr>
                  <w:r>
                    <w:rPr>
                      <w:rFonts w:ascii="Times New Roman" w:hAnsi="Times New Roman"/>
                      <w:sz w:val="16"/>
                      <w:szCs w:val="16"/>
                    </w:rPr>
                    <w:t xml:space="preserve">OK</w:t>
                  </w:r>
                </w:p>
              </w:tc>
            </w:tr>
            <w:tr>
              <w:tc>
                <w:p>
                  <w:pPr>
                    <w:jc w:val="left"/>
                    <w:spacing w:before="0" w:after="38100"/>
                  </w:pPr>
                  <w:r>
                    <w:rPr>
                      <w:rFonts w:ascii="Times New Roman" w:hAnsi="Times New Roman"/>
                      <w:sz w:val="16"/>
                      <w:szCs w:val="16"/>
                    </w:rPr>
                    <w:t xml:space="preserve">Fallo temporal RabbitMQ</w:t>
                  </w:r>
                </w:p>
              </w:tc>
              <w:tc>
                <w:p>
                  <w:pPr>
                    <w:jc w:val="left"/>
                    <w:spacing w:before="0" w:after="38100"/>
                  </w:pPr>
                  <w:r>
                    <w:rPr>
                      <w:rFonts w:ascii="Times New Roman" w:hAnsi="Times New Roman"/>
                      <w:sz w:val="16"/>
                      <w:szCs w:val="16"/>
                    </w:rPr>
                    <w:t xml:space="preserve">Outbox guarda y reintenta</w:t>
                  </w:r>
                </w:p>
              </w:tc>
              <w:tc>
                <w:p>
                  <w:pPr>
                    <w:jc w:val="left"/>
                    <w:spacing w:before="0" w:after="38100"/>
                  </w:pPr>
                  <w:r>
                    <w:rPr>
                      <w:rFonts w:ascii="Times New Roman" w:hAnsi="Times New Roman"/>
                      <w:sz w:val="16"/>
                      <w:szCs w:val="16"/>
                    </w:rPr>
                    <w:t xml:space="preserve">OK</w:t>
                  </w:r>
                </w:p>
              </w:tc>
            </w:tr>
          </w:tbl>
          <w:p>
            <w:pPr>
              <w:jc w:val="both"/>
              <w:spacing w:before="0" w:after="76200"/>
            </w:pPr>
            <w:r>
              <w:rPr>
                <w:rFonts w:ascii="Times New Roman" w:hAnsi="Times New Roman"/>
                <w:sz w:val="18"/>
                <w:szCs w:val="18"/>
              </w:rPr>
              <w:t xml:space="preserve">Tras tres fallos consecutivos de comunicación con HAPI FHIR, el circuito entra en estado OPEN durante 30 s. En HALF-OPEN, intenta un único request de prueba. Si tiene éxito, vuelve a CLOSED y retoma el procesamiento del backlog. Esto protege al Sync Service de acumular llamadas bloqueantes.</w:t>
            </w:r>
          </w:p>
          <w:p>
            <w:pPr>
              <w:jc w:val="center"/>
              <w:spacing w:before="0" w:after="57150"/>
            </w:pPr>
            <w:r>
              <w:rPr>
                <w:rFonts w:ascii="Times New Roman" w:hAnsi="Times New Roman"/>
                <w:sz w:val="16"/>
                <w:szCs w:val="16"/>
                <w:i/>
                <w:iCs/>
              </w:rPr>
              <w:t xml:space="preserve">Tabla III. Escenarios de tolerancia a fallos probados.</w:t>
            </w:r>
          </w:p>
          <w:p>
            <w:pPr>
              <w:jc w:val="left"/>
              <w:spacing w:before="190500" w:after="57150"/>
            </w:pPr>
            <w:r>
              <w:rPr>
                <w:rFonts w:ascii="Times New Roman" w:hAnsi="Times New Roman"/>
                <w:sz w:val="20"/>
                <w:szCs w:val="20"/>
                <w:b/>
                <w:bCs/>
              </w:rPr>
              <w:t xml:space="preserve">IX. MONITOREO CON PROMETHEUS Y GRAFANA</w:t>
            </w:r>
          </w:p>
          <w:p>
            <w:pPr>
              <w:jc w:val="left"/>
              <w:spacing w:before="95250" w:after="38100"/>
            </w:pPr>
            <w:r>
              <w:rPr>
                <w:rFonts w:ascii="Times New Roman" w:hAnsi="Times New Roman"/>
                <w:sz w:val="18"/>
                <w:szCs w:val="18"/>
                <w:b/>
                <w:bCs/>
                <w:i/>
                <w:iCs/>
              </w:rPr>
              <w:t xml:space="preserve">A. Prometheus</w:t>
            </w:r>
          </w:p>
          <w:p>
            <w:pPr>
              <w:jc w:val="both"/>
              <w:spacing w:before="0" w:after="76200"/>
            </w:pPr>
            <w:r>
              <w:rPr>
                <w:rFonts w:ascii="Times New Roman" w:hAnsi="Times New Roman"/>
                <w:sz w:val="18"/>
                <w:szCs w:val="18"/>
              </w:rPr>
              <w:t xml:space="preserve">prom.yml define 9 jobs de scraping: prometheus (self), gateway-service (/metrics:8001), patient-service (8002), clinical-service (8003), sync-service (8004), rabbitmq (15692, plugin nativo), postgres-exporter-nodo1 (9187), nodo2 (9188) y nodo3 (9189). Todos los targets en estado UP durante operación normal, verificables en localhost:9090/targets.</w:t>
            </w:r>
          </w:p>
          <w:tbl>
            <w:tblPr>
              <w:tblW w:type="pct" w:w="4950"/>
              <w:tblBorders>
                <w:top w:val="single" w:sz="4" w:color="auto"/>
                <w:left w:val="single" w:sz="4" w:color="auto"/>
                <w:bottom w:val="single" w:sz="4" w:color="auto"/>
                <w:right w:val="single" w:sz="4" w:color="auto"/>
                <w:insideH w:val="single" w:sz="4" w:color="auto"/>
                <w:insideV w:val="single" w:sz="4" w:color="auto"/>
              </w:tblBorders>
            </w:tblPr>
            <w:tr>
              <w:tc>
                <w:p>
                  <w:pPr>
                    <w:jc w:val="left"/>
                    <w:spacing w:before="0" w:after="38100"/>
                  </w:pPr>
                  <w:r>
                    <w:rPr>
                      <w:rFonts w:ascii="Times New Roman" w:hAnsi="Times New Roman"/>
                      <w:sz w:val="16"/>
                      <w:szCs w:val="16"/>
                      <w:b/>
                      <w:bCs/>
                    </w:rPr>
                    <w:t xml:space="preserve">Métrica</w:t>
                  </w:r>
                </w:p>
              </w:tc>
              <w:tc>
                <w:p>
                  <w:pPr>
                    <w:jc w:val="left"/>
                    <w:spacing w:before="0" w:after="38100"/>
                  </w:pPr>
                  <w:r>
                    <w:rPr>
                      <w:rFonts w:ascii="Times New Roman" w:hAnsi="Times New Roman"/>
                      <w:sz w:val="16"/>
                      <w:szCs w:val="16"/>
                      <w:b/>
                      <w:bCs/>
                    </w:rPr>
                    <w:t xml:space="preserve">Tipo</w:t>
                  </w:r>
                </w:p>
              </w:tc>
              <w:tc>
                <w:p>
                  <w:pPr>
                    <w:jc w:val="left"/>
                    <w:spacing w:before="0" w:after="38100"/>
                  </w:pPr>
                  <w:r>
                    <w:rPr>
                      <w:rFonts w:ascii="Times New Roman" w:hAnsi="Times New Roman"/>
                      <w:sz w:val="16"/>
                      <w:szCs w:val="16"/>
                      <w:b/>
                      <w:bCs/>
                    </w:rPr>
                    <w:t xml:space="preserve">Descripción</w:t>
                  </w:r>
                </w:p>
              </w:tc>
            </w:tr>
            <w:tr>
              <w:tc>
                <w:p>
                  <w:pPr>
                    <w:jc w:val="left"/>
                    <w:spacing w:before="0" w:after="38100"/>
                  </w:pPr>
                  <w:r>
                    <w:rPr>
                      <w:rFonts w:ascii="Times New Roman" w:hAnsi="Times New Roman"/>
                      <w:sz w:val="16"/>
                      <w:szCs w:val="16"/>
                    </w:rPr>
                    <w:t xml:space="preserve">his_outbox_pending_total</w:t>
                  </w:r>
                </w:p>
              </w:tc>
              <w:tc>
                <w:p>
                  <w:pPr>
                    <w:jc w:val="left"/>
                    <w:spacing w:before="0" w:after="38100"/>
                  </w:pPr>
                  <w:r>
                    <w:rPr>
                      <w:rFonts w:ascii="Times New Roman" w:hAnsi="Times New Roman"/>
                      <w:sz w:val="16"/>
                      <w:szCs w:val="16"/>
                    </w:rPr>
                    <w:t xml:space="preserve">Gauge</w:t>
                  </w:r>
                </w:p>
              </w:tc>
              <w:tc>
                <w:p>
                  <w:pPr>
                    <w:jc w:val="left"/>
                    <w:spacing w:before="0" w:after="38100"/>
                  </w:pPr>
                  <w:r>
                    <w:rPr>
                      <w:rFonts w:ascii="Times New Roman" w:hAnsi="Times New Roman"/>
                      <w:sz w:val="16"/>
                      <w:szCs w:val="16"/>
                    </w:rPr>
                    <w:t xml:space="preserve">Total pending</w:t>
                  </w:r>
                </w:p>
              </w:tc>
            </w:tr>
            <w:tr>
              <w:tc>
                <w:p>
                  <w:pPr>
                    <w:jc w:val="left"/>
                    <w:spacing w:before="0" w:after="38100"/>
                  </w:pPr>
                  <w:r>
                    <w:rPr>
                      <w:rFonts w:ascii="Times New Roman" w:hAnsi="Times New Roman"/>
                      <w:sz w:val="16"/>
                      <w:szCs w:val="16"/>
                    </w:rPr>
                    <w:t xml:space="preserve">his_outbox_processed_total</w:t>
                  </w:r>
                </w:p>
              </w:tc>
              <w:tc>
                <w:p>
                  <w:pPr>
                    <w:jc w:val="left"/>
                    <w:spacing w:before="0" w:after="38100"/>
                  </w:pPr>
                  <w:r>
                    <w:rPr>
                      <w:rFonts w:ascii="Times New Roman" w:hAnsi="Times New Roman"/>
                      <w:sz w:val="16"/>
                      <w:szCs w:val="16"/>
                    </w:rPr>
                    <w:t xml:space="preserve">Gauge</w:t>
                  </w:r>
                </w:p>
              </w:tc>
              <w:tc>
                <w:p>
                  <w:pPr>
                    <w:jc w:val="left"/>
                    <w:spacing w:before="0" w:after="38100"/>
                  </w:pPr>
                  <w:r>
                    <w:rPr>
                      <w:rFonts w:ascii="Times New Roman" w:hAnsi="Times New Roman"/>
                      <w:sz w:val="16"/>
                      <w:szCs w:val="16"/>
                    </w:rPr>
                    <w:t xml:space="preserve">Total procesados</w:t>
                  </w:r>
                </w:p>
              </w:tc>
            </w:tr>
            <w:tr>
              <w:tc>
                <w:p>
                  <w:pPr>
                    <w:jc w:val="left"/>
                    <w:spacing w:before="0" w:after="38100"/>
                  </w:pPr>
                  <w:r>
                    <w:rPr>
                      <w:rFonts w:ascii="Times New Roman" w:hAnsi="Times New Roman"/>
                      <w:sz w:val="16"/>
                      <w:szCs w:val="16"/>
                    </w:rPr>
                    <w:t xml:space="preserve">his_outbox_failed_total</w:t>
                  </w:r>
                </w:p>
              </w:tc>
              <w:tc>
                <w:p>
                  <w:pPr>
                    <w:jc w:val="left"/>
                    <w:spacing w:before="0" w:after="38100"/>
                  </w:pPr>
                  <w:r>
                    <w:rPr>
                      <w:rFonts w:ascii="Times New Roman" w:hAnsi="Times New Roman"/>
                      <w:sz w:val="16"/>
                      <w:szCs w:val="16"/>
                    </w:rPr>
                    <w:t xml:space="preserve">Gauge</w:t>
                  </w:r>
                </w:p>
              </w:tc>
              <w:tc>
                <w:p>
                  <w:pPr>
                    <w:jc w:val="left"/>
                    <w:spacing w:before="0" w:after="38100"/>
                  </w:pPr>
                  <w:r>
                    <w:rPr>
                      <w:rFonts w:ascii="Times New Roman" w:hAnsi="Times New Roman"/>
                      <w:sz w:val="16"/>
                      <w:szCs w:val="16"/>
                    </w:rPr>
                    <w:t xml:space="preserve">Total fallidos</w:t>
                  </w:r>
                </w:p>
              </w:tc>
            </w:tr>
            <w:tr>
              <w:tc>
                <w:p>
                  <w:pPr>
                    <w:jc w:val="left"/>
                    <w:spacing w:before="0" w:after="38100"/>
                  </w:pPr>
                  <w:r>
                    <w:rPr>
                      <w:rFonts w:ascii="Times New Roman" w:hAnsi="Times New Roman"/>
                      <w:sz w:val="16"/>
                      <w:szCs w:val="16"/>
                    </w:rPr>
                    <w:t xml:space="preserve">his_outbox_pending_by_node{node}</w:t>
                  </w:r>
                </w:p>
              </w:tc>
              <w:tc>
                <w:p>
                  <w:pPr>
                    <w:jc w:val="left"/>
                    <w:spacing w:before="0" w:after="38100"/>
                  </w:pPr>
                  <w:r>
                    <w:rPr>
                      <w:rFonts w:ascii="Times New Roman" w:hAnsi="Times New Roman"/>
                      <w:sz w:val="16"/>
                      <w:szCs w:val="16"/>
                    </w:rPr>
                    <w:t xml:space="preserve">Gauge</w:t>
                  </w:r>
                </w:p>
              </w:tc>
              <w:tc>
                <w:p>
                  <w:pPr>
                    <w:jc w:val="left"/>
                    <w:spacing w:before="0" w:after="38100"/>
                  </w:pPr>
                  <w:r>
                    <w:rPr>
                      <w:rFonts w:ascii="Times New Roman" w:hAnsi="Times New Roman"/>
                      <w:sz w:val="16"/>
                      <w:szCs w:val="16"/>
                    </w:rPr>
                    <w:t xml:space="preserve">Pending por sede</w:t>
                  </w:r>
                </w:p>
              </w:tc>
            </w:tr>
            <w:tr>
              <w:tc>
                <w:p>
                  <w:pPr>
                    <w:jc w:val="left"/>
                    <w:spacing w:before="0" w:after="38100"/>
                  </w:pPr>
                  <w:r>
                    <w:rPr>
                      <w:rFonts w:ascii="Times New Roman" w:hAnsi="Times New Roman"/>
                      <w:sz w:val="16"/>
                      <w:szCs w:val="16"/>
                    </w:rPr>
                    <w:t xml:space="preserve">his_outbox_last_sync_timestamp</w:t>
                  </w:r>
                </w:p>
              </w:tc>
              <w:tc>
                <w:p>
                  <w:pPr>
                    <w:jc w:val="left"/>
                    <w:spacing w:before="0" w:after="38100"/>
                  </w:pPr>
                  <w:r>
                    <w:rPr>
                      <w:rFonts w:ascii="Times New Roman" w:hAnsi="Times New Roman"/>
                      <w:sz w:val="16"/>
                      <w:szCs w:val="16"/>
                    </w:rPr>
                    <w:t xml:space="preserve">Gauge</w:t>
                  </w:r>
                </w:p>
              </w:tc>
              <w:tc>
                <w:p>
                  <w:pPr>
                    <w:jc w:val="left"/>
                    <w:spacing w:before="0" w:after="38100"/>
                  </w:pPr>
                  <w:r>
                    <w:rPr>
                      <w:rFonts w:ascii="Times New Roman" w:hAnsi="Times New Roman"/>
                      <w:sz w:val="16"/>
                      <w:szCs w:val="16"/>
                    </w:rPr>
                    <w:t xml:space="preserve">Epoch último sync</w:t>
                  </w:r>
                </w:p>
              </w:tc>
            </w:tr>
          </w:tbl>
          <w:p>
            <w:pPr>
              <w:jc w:val="left"/>
              <w:spacing w:before="95250" w:after="38100"/>
            </w:pPr>
            <w:r>
              <w:rPr>
                <w:rFonts w:ascii="Times New Roman" w:hAnsi="Times New Roman"/>
                <w:sz w:val="18"/>
                <w:szCs w:val="18"/>
                <w:b/>
                <w:bCs/>
                <w:i/>
                <w:iCs/>
              </w:rPr>
              <w:t xml:space="preserve">B. Métricas Personalizadas del Sistema</w:t>
            </w:r>
          </w:p>
          <w:p>
            <w:pPr>
              <w:jc w:val="center"/>
              <w:spacing w:before="0" w:after="57150"/>
            </w:pPr>
            <w:r>
              <w:rPr>
                <w:rFonts w:ascii="Times New Roman" w:hAnsi="Times New Roman"/>
                <w:sz w:val="16"/>
                <w:szCs w:val="16"/>
                <w:i/>
                <w:iCs/>
              </w:rPr>
              <w:t xml:space="preserve">Tabla IV. Métricas Prometheus personalizadas del sistema.</w:t>
            </w:r>
          </w:p>
          <w:p>
            <w:pPr>
              <w:jc w:val="left"/>
              <w:spacing w:before="95250" w:after="38100"/>
            </w:pPr>
            <w:r>
              <w:rPr>
                <w:rFonts w:ascii="Times New Roman" w:hAnsi="Times New Roman"/>
                <w:sz w:val="18"/>
                <w:szCs w:val="18"/>
                <w:b/>
                <w:bCs/>
                <w:i/>
                <w:iCs/>
              </w:rPr>
              <w:t xml:space="preserve">C. Grafana</w:t>
            </w:r>
          </w:p>
          <w:p>
            <w:pPr>
              <w:jc w:val="both"/>
              <w:spacing w:before="0" w:after="76200"/>
            </w:pPr>
            <w:r>
              <w:rPr>
                <w:rFonts w:ascii="Times New Roman" w:hAnsi="Times New Roman"/>
                <w:sz w:val="18"/>
                <w:szCs w:val="18"/>
              </w:rPr>
              <w:t xml:space="preserve">Dashboard "HIS Distribuido Overview" auto-provisionado (his_overview.json) con 8 paneles: Outbox Pending Total, Processed Total, Failed Total, Pending por Nodo (Sincelejo / Bogotá / Medellín), HTTP Request Rate por servicio, RabbitMQ Queue Depth, PostgreSQL Connections y Último Timestamp de Sincronización. Intervalo de refresco: 10 s.</w:t>
            </w:r>
          </w:p>
          <w:p>
            <w:pPr>
              <w:jc w:val="both"/>
              <w:spacing w:before="0" w:after="76200"/>
            </w:pPr>
            <w:r>
              <w:rPr>
                <w:rFonts w:ascii="Times New Roman" w:hAnsi="Times New Roman"/>
                <w:sz w:val="18"/>
                <w:szCs w:val="18"/>
              </w:rPr>
              <w:t xml:space="preserve">Los exporters wrouesnel/postgres_exporter reportan pg_up, pg_stat_database_tup_inserted, pg_stat_database_tup_fetched y pg_locks_count por nodo, permitiendo detectar cuellos de botella o instancias degradadas.</w:t>
            </w:r>
          </w:p>
          <w:p>
            <w:pPr>
              <w:jc w:val="center"/>
              <w:spacing w:before="57150" w:after="38100"/>
            </w:pPr>
            <w:r>
              <w:rPr>
                <w:rFonts w:ascii="Times New Roman" w:hAnsi="Times New Roman"/>
                <w:sz w:val="16"/>
                <w:szCs w:val="16"/>
                <w:i/>
                <w:iCs/>
              </w:rPr>
              <w:t xml:space="preserve">[Insertar Figura 4: Dashboard Grafana — Outbox pending por nodo durante simulación de fallo]</w:t>
            </w:r>
          </w:p>
          <w:p>
            <w:pPr>
              <w:jc w:val="center"/>
              <w:spacing w:before="0" w:after="76200"/>
            </w:pPr>
            <w:r>
              <w:rPr>
                <w:rFonts w:ascii="Times New Roman" w:hAnsi="Times New Roman"/>
                <w:sz w:val="16"/>
                <w:szCs w:val="16"/>
                <w:i/>
                <w:iCs/>
              </w:rPr>
              <w:t xml:space="preserve">Fig. 4. Dashboard Grafana — Outbox pending por nodo durante simulación de fallo.</w:t>
            </w:r>
          </w:p>
          <w:p>
            <w:pPr>
              <w:jc w:val="center"/>
              <w:spacing w:before="57150" w:after="38100"/>
            </w:pPr>
            <w:r>
              <w:rPr>
                <w:rFonts w:ascii="Times New Roman" w:hAnsi="Times New Roman"/>
                <w:sz w:val="16"/>
                <w:szCs w:val="16"/>
                <w:i/>
                <w:iCs/>
              </w:rPr>
              <w:t xml:space="preserve">[Insertar Figura 5: Prometheus Targets — 9 servicios en estado UP]</w:t>
            </w:r>
          </w:p>
          <w:p>
            <w:pPr>
              <w:jc w:val="center"/>
              <w:spacing w:before="0" w:after="76200"/>
            </w:pPr>
            <w:r>
              <w:rPr>
                <w:rFonts w:ascii="Times New Roman" w:hAnsi="Times New Roman"/>
                <w:sz w:val="16"/>
                <w:szCs w:val="16"/>
                <w:i/>
                <w:iCs/>
              </w:rPr>
              <w:t xml:space="preserve">Fig. 5. Prometheus Targets — 9 servicios en estado UP.</w:t>
            </w:r>
          </w:p>
          <w:p>
            <w:pPr>
              <w:jc w:val="left"/>
              <w:spacing w:before="190500" w:after="57150"/>
            </w:pPr>
            <w:r>
              <w:rPr>
                <w:rFonts w:ascii="Times New Roman" w:hAnsi="Times New Roman"/>
                <w:sz w:val="20"/>
                <w:szCs w:val="20"/>
                <w:b/>
                <w:bCs/>
              </w:rPr>
              <w:t xml:space="preserve">X. RESULTADOS</w:t>
            </w:r>
          </w:p>
          <w:tbl>
            <w:tblPr>
              <w:tblW w:type="pct" w:w="4950"/>
              <w:tblBorders>
                <w:top w:val="single" w:sz="4" w:color="auto"/>
                <w:left w:val="single" w:sz="4" w:color="auto"/>
                <w:bottom w:val="single" w:sz="4" w:color="auto"/>
                <w:right w:val="single" w:sz="4" w:color="auto"/>
                <w:insideH w:val="single" w:sz="4" w:color="auto"/>
                <w:insideV w:val="single" w:sz="4" w:color="auto"/>
              </w:tblBorders>
            </w:tblPr>
            <w:tr>
              <w:tc>
                <w:p>
                  <w:pPr>
                    <w:jc w:val="left"/>
                    <w:spacing w:before="0" w:after="38100"/>
                  </w:pPr>
                  <w:r>
                    <w:rPr>
                      <w:rFonts w:ascii="Times New Roman" w:hAnsi="Times New Roman"/>
                      <w:sz w:val="16"/>
                      <w:szCs w:val="16"/>
                      <w:b/>
                      <w:bCs/>
                    </w:rPr>
                    <w:t xml:space="preserve">Operación</w:t>
                  </w:r>
                </w:p>
              </w:tc>
              <w:tc>
                <w:p>
                  <w:pPr>
                    <w:jc w:val="left"/>
                    <w:spacing w:before="0" w:after="38100"/>
                  </w:pPr>
                  <w:r>
                    <w:rPr>
                      <w:rFonts w:ascii="Times New Roman" w:hAnsi="Times New Roman"/>
                      <w:sz w:val="16"/>
                      <w:szCs w:val="16"/>
                      <w:b/>
                      <w:bCs/>
                    </w:rPr>
                    <w:t xml:space="preserve">Tiempo Prom.</w:t>
                  </w:r>
                </w:p>
              </w:tc>
            </w:tr>
            <w:tr>
              <w:tc>
                <w:p>
                  <w:pPr>
                    <w:jc w:val="left"/>
                    <w:spacing w:before="0" w:after="38100"/>
                  </w:pPr>
                  <w:r>
                    <w:rPr>
                      <w:rFonts w:ascii="Times New Roman" w:hAnsi="Times New Roman"/>
                      <w:sz w:val="16"/>
                      <w:szCs w:val="16"/>
                    </w:rPr>
                    <w:t xml:space="preserve">Login JWT</w:t>
                  </w:r>
                </w:p>
              </w:tc>
              <w:tc>
                <w:p>
                  <w:pPr>
                    <w:jc w:val="left"/>
                    <w:spacing w:before="0" w:after="38100"/>
                  </w:pPr>
                  <w:r>
                    <w:rPr>
                      <w:rFonts w:ascii="Times New Roman" w:hAnsi="Times New Roman"/>
                      <w:sz w:val="16"/>
                      <w:szCs w:val="16"/>
                    </w:rPr>
                    <w:t xml:space="preserve">~15 ms</w:t>
                  </w:r>
                </w:p>
              </w:tc>
            </w:tr>
            <w:tr>
              <w:tc>
                <w:p>
                  <w:pPr>
                    <w:jc w:val="left"/>
                    <w:spacing w:before="0" w:after="38100"/>
                  </w:pPr>
                  <w:r>
                    <w:rPr>
                      <w:rFonts w:ascii="Times New Roman" w:hAnsi="Times New Roman"/>
                      <w:sz w:val="16"/>
                      <w:szCs w:val="16"/>
                    </w:rPr>
                    <w:t xml:space="preserve">Registro paciente (local)</w:t>
                  </w:r>
                </w:p>
              </w:tc>
              <w:tc>
                <w:p>
                  <w:pPr>
                    <w:jc w:val="left"/>
                    <w:spacing w:before="0" w:after="38100"/>
                  </w:pPr>
                  <w:r>
                    <w:rPr>
                      <w:rFonts w:ascii="Times New Roman" w:hAnsi="Times New Roman"/>
                      <w:sz w:val="16"/>
                      <w:szCs w:val="16"/>
                    </w:rPr>
                    <w:t xml:space="preserve">~45 ms</w:t>
                  </w:r>
                </w:p>
              </w:tc>
            </w:tr>
            <w:tr>
              <w:tc>
                <w:p>
                  <w:pPr>
                    <w:jc w:val="left"/>
                    <w:spacing w:before="0" w:after="38100"/>
                  </w:pPr>
                  <w:r>
                    <w:rPr>
                      <w:rFonts w:ascii="Times New Roman" w:hAnsi="Times New Roman"/>
                      <w:sz w:val="16"/>
                      <w:szCs w:val="16"/>
                    </w:rPr>
                    <w:t xml:space="preserve">Búsqueda por cédula (local)</w:t>
                  </w:r>
                </w:p>
              </w:tc>
              <w:tc>
                <w:p>
                  <w:pPr>
                    <w:jc w:val="left"/>
                    <w:spacing w:before="0" w:after="38100"/>
                  </w:pPr>
                  <w:r>
                    <w:rPr>
                      <w:rFonts w:ascii="Times New Roman" w:hAnsi="Times New Roman"/>
                      <w:sz w:val="16"/>
                      <w:szCs w:val="16"/>
                    </w:rPr>
                    <w:t xml:space="preserve">~8 ms</w:t>
                  </w:r>
                </w:p>
              </w:tc>
            </w:tr>
            <w:tr>
              <w:tc>
                <w:p>
                  <w:pPr>
                    <w:jc w:val="left"/>
                    <w:spacing w:before="0" w:after="38100"/>
                  </w:pPr>
                  <w:r>
                    <w:rPr>
                      <w:rFonts w:ascii="Times New Roman" w:hAnsi="Times New Roman"/>
                      <w:sz w:val="16"/>
                      <w:szCs w:val="16"/>
                    </w:rPr>
                    <w:t xml:space="preserve">Importación cross-sede FHIR</w:t>
                  </w:r>
                </w:p>
              </w:tc>
              <w:tc>
                <w:p>
                  <w:pPr>
                    <w:jc w:val="left"/>
                    <w:spacing w:before="0" w:after="38100"/>
                  </w:pPr>
                  <w:r>
                    <w:rPr>
                      <w:rFonts w:ascii="Times New Roman" w:hAnsi="Times New Roman"/>
                      <w:sz w:val="16"/>
                      <w:szCs w:val="16"/>
                    </w:rPr>
                    <w:t xml:space="preserve">~800 ms</w:t>
                  </w:r>
                </w:p>
              </w:tc>
            </w:tr>
            <w:tr>
              <w:tc>
                <w:p>
                  <w:pPr>
                    <w:jc w:val="left"/>
                    <w:spacing w:before="0" w:after="38100"/>
                  </w:pPr>
                  <w:r>
                    <w:rPr>
                      <w:rFonts w:ascii="Times New Roman" w:hAnsi="Times New Roman"/>
                      <w:sz w:val="16"/>
                      <w:szCs w:val="16"/>
                    </w:rPr>
                    <w:t xml:space="preserve">Sincronización outbox→HAPI</w:t>
                  </w:r>
                </w:p>
              </w:tc>
              <w:tc>
                <w:p>
                  <w:pPr>
                    <w:jc w:val="left"/>
                    <w:spacing w:before="0" w:after="38100"/>
                  </w:pPr>
                  <w:r>
                    <w:rPr>
                      <w:rFonts w:ascii="Times New Roman" w:hAnsi="Times New Roman"/>
                      <w:sz w:val="16"/>
                      <w:szCs w:val="16"/>
                    </w:rPr>
                    <w:t xml:space="preserve">~200 ms</w:t>
                  </w:r>
                </w:p>
              </w:tc>
            </w:tr>
            <w:tr>
              <w:tc>
                <w:p>
                  <w:pPr>
                    <w:jc w:val="left"/>
                    <w:spacing w:before="0" w:after="38100"/>
                  </w:pPr>
                  <w:r>
                    <w:rPr>
                      <w:rFonts w:ascii="Times New Roman" w:hAnsi="Times New Roman"/>
                      <w:sz w:val="16"/>
                      <w:szCs w:val="16"/>
                    </w:rPr>
                    <w:t xml:space="preserve">Carga dashboard</w:t>
                  </w:r>
                </w:p>
              </w:tc>
              <w:tc>
                <w:p>
                  <w:pPr>
                    <w:jc w:val="left"/>
                    <w:spacing w:before="0" w:after="38100"/>
                  </w:pPr>
                  <w:r>
                    <w:rPr>
                      <w:rFonts w:ascii="Times New Roman" w:hAnsi="Times New Roman"/>
                      <w:sz w:val="16"/>
                      <w:szCs w:val="16"/>
                    </w:rPr>
                    <w:t xml:space="preserve">~120 ms</w:t>
                  </w:r>
                </w:p>
              </w:tc>
            </w:tr>
            <w:tr>
              <w:tc>
                <w:p>
                  <w:pPr>
                    <w:jc w:val="left"/>
                    <w:spacing w:before="0" w:after="38100"/>
                  </w:pPr>
                  <w:r>
                    <w:rPr>
                      <w:rFonts w:ascii="Times New Roman" w:hAnsi="Times New Roman"/>
                      <w:sz w:val="16"/>
                      <w:szCs w:val="16"/>
                    </w:rPr>
                    <w:t xml:space="preserve">Propagación outbox (ciclo)</w:t>
                  </w:r>
                </w:p>
              </w:tc>
              <w:tc>
                <w:p>
                  <w:pPr>
                    <w:jc w:val="left"/>
                    <w:spacing w:before="0" w:after="38100"/>
                  </w:pPr>
                  <w:r>
                    <w:rPr>
                      <w:rFonts w:ascii="Times New Roman" w:hAnsi="Times New Roman"/>
                      <w:sz w:val="16"/>
                      <w:szCs w:val="16"/>
                    </w:rPr>
                    <w:t xml:space="preserve">~5.2 s</w:t>
                  </w:r>
                </w:p>
              </w:tc>
            </w:tr>
          </w:tbl>
          <w:p>
            <w:pPr>
              <w:jc w:val="left"/>
              <w:spacing w:before="95250" w:after="38100"/>
            </w:pPr>
            <w:r>
              <w:rPr>
                <w:rFonts w:ascii="Times New Roman" w:hAnsi="Times New Roman"/>
                <w:sz w:val="18"/>
                <w:szCs w:val="18"/>
                <w:b/>
                <w:bCs/>
                <w:i/>
                <w:iCs/>
              </w:rPr>
              <w:t xml:space="preserve">A. Rendimiento</w:t>
            </w:r>
          </w:p>
          <w:p>
            <w:pPr>
              <w:jc w:val="center"/>
              <w:spacing w:before="0" w:after="57150"/>
            </w:pPr>
            <w:r>
              <w:rPr>
                <w:rFonts w:ascii="Times New Roman" w:hAnsi="Times New Roman"/>
                <w:sz w:val="16"/>
                <w:szCs w:val="16"/>
                <w:i/>
                <w:iCs/>
              </w:rPr>
              <w:t xml:space="preserve">Tabla V. Métricas de rendimiento (i7 16GB, Ubuntu, Docker 24).</w:t>
            </w:r>
          </w:p>
          <w:p>
            <w:pPr>
              <w:jc w:val="left"/>
              <w:spacing w:before="95250" w:after="38100"/>
            </w:pPr>
            <w:r>
              <w:rPr>
                <w:rFonts w:ascii="Times New Roman" w:hAnsi="Times New Roman"/>
                <w:sz w:val="18"/>
                <w:szCs w:val="18"/>
                <w:b/>
                <w:bCs/>
                <w:i/>
                <w:iCs/>
              </w:rPr>
              <w:t xml:space="preserve">B. Consistencia Eventual y FHIR</w:t>
            </w:r>
          </w:p>
          <w:p>
            <w:pPr>
              <w:jc w:val="both"/>
              <w:spacing w:before="0" w:after="76200"/>
            </w:pPr>
            <w:r>
              <w:rPr>
                <w:rFonts w:ascii="Times New Roman" w:hAnsi="Times New Roman"/>
                <w:sz w:val="18"/>
                <w:szCs w:val="18"/>
              </w:rPr>
              <w:t xml:space="preserve">Tasa de entrega de eventos: 100% (cero pérdidas por persistencia transaccional). Tiempo de propagación promedio: 5.2 s. Recursos FHIR creados en sesión completa de demostración: 5 Patient, 5 Encounter, 5+ Observation (signos vitales + triage), 5 Condition (CIE-10), 4 MedicationRequest. Verificados vía GET /fhir/{Recurso}?_summary=count.</w:t>
            </w:r>
          </w:p>
          <w:tbl>
            <w:tblPr>
              <w:tblW w:type="pct" w:w="4950"/>
              <w:tblBorders>
                <w:top w:val="single" w:sz="4" w:color="auto"/>
                <w:left w:val="single" w:sz="4" w:color="auto"/>
                <w:bottom w:val="single" w:sz="4" w:color="auto"/>
                <w:right w:val="single" w:sz="4" w:color="auto"/>
                <w:insideH w:val="single" w:sz="4" w:color="auto"/>
                <w:insideV w:val="single" w:sz="4" w:color="auto"/>
              </w:tblBorders>
            </w:tblPr>
            <w:tr>
              <w:tc>
                <w:p>
                  <w:pPr>
                    <w:jc w:val="left"/>
                    <w:spacing w:before="0" w:after="38100"/>
                  </w:pPr>
                  <w:r>
                    <w:rPr>
                      <w:rFonts w:ascii="Times New Roman" w:hAnsi="Times New Roman"/>
                      <w:sz w:val="16"/>
                      <w:szCs w:val="16"/>
                      <w:b/>
                      <w:bCs/>
                    </w:rPr>
                    <w:t xml:space="preserve">Aspecto</w:t>
                  </w:r>
                </w:p>
              </w:tc>
              <w:tc>
                <w:p>
                  <w:pPr>
                    <w:jc w:val="left"/>
                    <w:spacing w:before="0" w:after="38100"/>
                  </w:pPr>
                  <w:r>
                    <w:rPr>
                      <w:rFonts w:ascii="Times New Roman" w:hAnsi="Times New Roman"/>
                      <w:sz w:val="16"/>
                      <w:szCs w:val="16"/>
                      <w:b/>
                      <w:bCs/>
                    </w:rPr>
                    <w:t xml:space="preserve">Este Sistema</w:t>
                  </w:r>
                </w:p>
              </w:tc>
              <w:tc>
                <w:p>
                  <w:pPr>
                    <w:jc w:val="left"/>
                    <w:spacing w:before="0" w:after="38100"/>
                  </w:pPr>
                  <w:r>
                    <w:rPr>
                      <w:rFonts w:ascii="Times New Roman" w:hAnsi="Times New Roman"/>
                      <w:sz w:val="16"/>
                      <w:szCs w:val="16"/>
                      <w:b/>
                      <w:bCs/>
                    </w:rPr>
                    <w:t xml:space="preserve">OpenMRS</w:t>
                  </w:r>
                </w:p>
              </w:tc>
              <w:tc>
                <w:p>
                  <w:pPr>
                    <w:jc w:val="left"/>
                    <w:spacing w:before="0" w:after="38100"/>
                  </w:pPr>
                  <w:r>
                    <w:rPr>
                      <w:rFonts w:ascii="Times New Roman" w:hAnsi="Times New Roman"/>
                      <w:sz w:val="16"/>
                      <w:szCs w:val="16"/>
                      <w:b/>
                      <w:bCs/>
                    </w:rPr>
                    <w:t xml:space="preserve">OpenEHR+Ehrbase</w:t>
                  </w:r>
                </w:p>
              </w:tc>
            </w:tr>
            <w:tr>
              <w:tc>
                <w:p>
                  <w:pPr>
                    <w:jc w:val="left"/>
                    <w:spacing w:before="0" w:after="38100"/>
                  </w:pPr>
                  <w:r>
                    <w:rPr>
                      <w:rFonts w:ascii="Times New Roman" w:hAnsi="Times New Roman"/>
                      <w:sz w:val="16"/>
                      <w:szCs w:val="16"/>
                    </w:rPr>
                    <w:t xml:space="preserve">Estándar datos</w:t>
                  </w:r>
                </w:p>
              </w:tc>
              <w:tc>
                <w:p>
                  <w:pPr>
                    <w:jc w:val="left"/>
                    <w:spacing w:before="0" w:after="38100"/>
                  </w:pPr>
                  <w:r>
                    <w:rPr>
                      <w:rFonts w:ascii="Times New Roman" w:hAnsi="Times New Roman"/>
                      <w:sz w:val="16"/>
                      <w:szCs w:val="16"/>
                    </w:rPr>
                    <w:t xml:space="preserve">FHIR R4</w:t>
                  </w:r>
                </w:p>
              </w:tc>
              <w:tc>
                <w:p>
                  <w:pPr>
                    <w:jc w:val="left"/>
                    <w:spacing w:before="0" w:after="38100"/>
                  </w:pPr>
                  <w:r>
                    <w:rPr>
                      <w:rFonts w:ascii="Times New Roman" w:hAnsi="Times New Roman"/>
                      <w:sz w:val="16"/>
                      <w:szCs w:val="16"/>
                    </w:rPr>
                    <w:t xml:space="preserve">FHIR parc.</w:t>
                  </w:r>
                </w:p>
              </w:tc>
              <w:tc>
                <w:p>
                  <w:pPr>
                    <w:jc w:val="left"/>
                    <w:spacing w:before="0" w:after="38100"/>
                  </w:pPr>
                  <w:r>
                    <w:rPr>
                      <w:rFonts w:ascii="Times New Roman" w:hAnsi="Times New Roman"/>
                      <w:sz w:val="16"/>
                      <w:szCs w:val="16"/>
                    </w:rPr>
                    <w:t xml:space="preserve">openEHR Archetypes</w:t>
                  </w:r>
                </w:p>
              </w:tc>
            </w:tr>
            <w:tr>
              <w:tc>
                <w:p>
                  <w:pPr>
                    <w:jc w:val="left"/>
                    <w:spacing w:before="0" w:after="38100"/>
                  </w:pPr>
                  <w:r>
                    <w:rPr>
                      <w:rFonts w:ascii="Times New Roman" w:hAnsi="Times New Roman"/>
                      <w:sz w:val="16"/>
                      <w:szCs w:val="16"/>
                    </w:rPr>
                    <w:t xml:space="preserve">Distribución</w:t>
                  </w:r>
                </w:p>
              </w:tc>
              <w:tc>
                <w:p>
                  <w:pPr>
                    <w:jc w:val="left"/>
                    <w:spacing w:before="0" w:after="38100"/>
                  </w:pPr>
                  <w:r>
                    <w:rPr>
                      <w:rFonts w:ascii="Times New Roman" w:hAnsi="Times New Roman"/>
                      <w:sz w:val="16"/>
                      <w:szCs w:val="16"/>
                    </w:rPr>
                    <w:t xml:space="preserve">Sharding+Outbox</w:t>
                  </w:r>
                </w:p>
              </w:tc>
              <w:tc>
                <w:p>
                  <w:pPr>
                    <w:jc w:val="left"/>
                    <w:spacing w:before="0" w:after="38100"/>
                  </w:pPr>
                  <w:r>
                    <w:rPr>
                      <w:rFonts w:ascii="Times New Roman" w:hAnsi="Times New Roman"/>
                      <w:sz w:val="16"/>
                      <w:szCs w:val="16"/>
                    </w:rPr>
                    <w:t xml:space="preserve">Monolítico</w:t>
                  </w:r>
                </w:p>
              </w:tc>
              <w:tc>
                <w:p>
                  <w:pPr>
                    <w:jc w:val="left"/>
                    <w:spacing w:before="0" w:after="38100"/>
                  </w:pPr>
                  <w:r>
                    <w:rPr>
                      <w:rFonts w:ascii="Times New Roman" w:hAnsi="Times New Roman"/>
                      <w:sz w:val="16"/>
                      <w:szCs w:val="16"/>
                    </w:rPr>
                    <w:t xml:space="preserve">Federación</w:t>
                  </w:r>
                </w:p>
              </w:tc>
            </w:tr>
            <w:tr>
              <w:tc>
                <w:p>
                  <w:pPr>
                    <w:jc w:val="left"/>
                    <w:spacing w:before="0" w:after="38100"/>
                  </w:pPr>
                  <w:r>
                    <w:rPr>
                      <w:rFonts w:ascii="Times New Roman" w:hAnsi="Times New Roman"/>
                      <w:sz w:val="16"/>
                      <w:szCs w:val="16"/>
                    </w:rPr>
                    <w:t xml:space="preserve">Despliegue</w:t>
                  </w:r>
                </w:p>
              </w:tc>
              <w:tc>
                <w:p>
                  <w:pPr>
                    <w:jc w:val="left"/>
                    <w:spacing w:before="0" w:after="38100"/>
                  </w:pPr>
                  <w:r>
                    <w:rPr>
                      <w:rFonts w:ascii="Times New Roman" w:hAnsi="Times New Roman"/>
                      <w:sz w:val="16"/>
                      <w:szCs w:val="16"/>
                    </w:rPr>
                    <w:t xml:space="preserve">Docker Compose</w:t>
                  </w:r>
                </w:p>
              </w:tc>
              <w:tc>
                <w:p>
                  <w:pPr>
                    <w:jc w:val="left"/>
                    <w:spacing w:before="0" w:after="38100"/>
                  </w:pPr>
                  <w:r>
                    <w:rPr>
                      <w:rFonts w:ascii="Times New Roman" w:hAnsi="Times New Roman"/>
                      <w:sz w:val="16"/>
                      <w:szCs w:val="16"/>
                    </w:rPr>
                    <w:t xml:space="preserve">Tomcat+MySQL</w:t>
                  </w:r>
                </w:p>
              </w:tc>
              <w:tc>
                <w:p>
                  <w:pPr>
                    <w:jc w:val="left"/>
                    <w:spacing w:before="0" w:after="38100"/>
                  </w:pPr>
                  <w:r>
                    <w:rPr>
                      <w:rFonts w:ascii="Times New Roman" w:hAnsi="Times New Roman"/>
                      <w:sz w:val="16"/>
                      <w:szCs w:val="16"/>
                    </w:rPr>
                    <w:t xml:space="preserve">K8s</w:t>
                  </w:r>
                </w:p>
              </w:tc>
            </w:tr>
            <w:tr>
              <w:tc>
                <w:p>
                  <w:pPr>
                    <w:jc w:val="left"/>
                    <w:spacing w:before="0" w:after="38100"/>
                  </w:pPr>
                  <w:r>
                    <w:rPr>
                      <w:rFonts w:ascii="Times New Roman" w:hAnsi="Times New Roman"/>
                      <w:sz w:val="16"/>
                      <w:szCs w:val="16"/>
                    </w:rPr>
                    <w:t xml:space="preserve">Uso académico</w:t>
                  </w:r>
                </w:p>
              </w:tc>
              <w:tc>
                <w:p>
                  <w:pPr>
                    <w:jc w:val="left"/>
                    <w:spacing w:before="0" w:after="38100"/>
                  </w:pPr>
                  <w:r>
                    <w:rPr>
                      <w:rFonts w:ascii="Times New Roman" w:hAnsi="Times New Roman"/>
                      <w:sz w:val="16"/>
                      <w:szCs w:val="16"/>
                    </w:rPr>
                    <w:t xml:space="preserve">Alto</w:t>
                  </w:r>
                </w:p>
              </w:tc>
              <w:tc>
                <w:p>
                  <w:pPr>
                    <w:jc w:val="left"/>
                    <w:spacing w:before="0" w:after="38100"/>
                  </w:pPr>
                  <w:r>
                    <w:rPr>
                      <w:rFonts w:ascii="Times New Roman" w:hAnsi="Times New Roman"/>
                      <w:sz w:val="16"/>
                      <w:szCs w:val="16"/>
                    </w:rPr>
                    <w:t xml:space="preserve">Parcial</w:t>
                  </w:r>
                </w:p>
              </w:tc>
              <w:tc>
                <w:p>
                  <w:pPr>
                    <w:jc w:val="left"/>
                    <w:spacing w:before="0" w:after="38100"/>
                  </w:pPr>
                  <w:r>
                    <w:rPr>
                      <w:rFonts w:ascii="Times New Roman" w:hAnsi="Times New Roman"/>
                      <w:sz w:val="16"/>
                      <w:szCs w:val="16"/>
                    </w:rPr>
                    <w:t xml:space="preserve">No</w:t>
                  </w:r>
                </w:p>
              </w:tc>
            </w:tr>
          </w:tbl>
          <w:p>
            <w:pPr>
              <w:jc w:val="left"/>
              <w:spacing w:before="95250" w:after="38100"/>
            </w:pPr>
            <w:r>
              <w:rPr>
                <w:rFonts w:ascii="Times New Roman" w:hAnsi="Times New Roman"/>
                <w:sz w:val="18"/>
                <w:szCs w:val="18"/>
                <w:b/>
                <w:bCs/>
                <w:i/>
                <w:iCs/>
              </w:rPr>
              <w:t xml:space="preserve">C. Comparativa con Alternativas</w:t>
            </w:r>
          </w:p>
          <w:p>
            <w:pPr>
              <w:jc w:val="center"/>
              <w:spacing w:before="0" w:after="57150"/>
            </w:pPr>
            <w:r>
              <w:rPr>
                <w:rFonts w:ascii="Times New Roman" w:hAnsi="Times New Roman"/>
                <w:sz w:val="16"/>
                <w:szCs w:val="16"/>
                <w:i/>
                <w:iCs/>
              </w:rPr>
              <w:t xml:space="preserve">Tabla VI. Comparativa con sistemas HIS alternativos.</w:t>
            </w:r>
          </w:p>
          <w:p>
            <w:pPr>
              <w:jc w:val="left"/>
              <w:spacing w:before="190500" w:after="57150"/>
            </w:pPr>
            <w:r>
              <w:rPr>
                <w:rFonts w:ascii="Times New Roman" w:hAnsi="Times New Roman"/>
                <w:sz w:val="20"/>
                <w:szCs w:val="20"/>
                <w:b/>
                <w:bCs/>
              </w:rPr>
              <w:t xml:space="preserve">XI. CONCLUSIONES</w:t>
            </w:r>
          </w:p>
          <w:p>
            <w:pPr>
              <w:jc w:val="both"/>
              <w:spacing w:before="0" w:after="57150"/>
            </w:pPr>
            <w:r>
              <w:rPr>
                <w:rFonts w:ascii="Times New Roman" w:hAnsi="Times New Roman"/>
                <w:sz w:val="18"/>
                <w:szCs w:val="18"/>
                <w:b/>
                <w:bCs/>
              </w:rPr>
              <w:t xml:space="preserve">1. Outbox Pattern: </w:t>
            </w:r>
            <w:r>
              <w:rPr>
                <w:rFonts w:ascii="Times New Roman" w:hAnsi="Times New Roman"/>
                <w:sz w:val="18"/>
                <w:szCs w:val="18"/>
              </w:rPr>
              <w:t xml:space="preserve">mecanismo más confiable para consistencia eventual en microservicios. La atomicidad INSERT clínico + INSERT outbox elimina la pérdida de eventos ante fallos de proceso.</w:t>
            </w:r>
          </w:p>
          <w:p>
            <w:pPr>
              <w:jc w:val="both"/>
              <w:spacing w:before="0" w:after="57150"/>
            </w:pPr>
            <w:r>
              <w:rPr>
                <w:rFonts w:ascii="Times New Roman" w:hAnsi="Times New Roman"/>
                <w:sz w:val="18"/>
                <w:szCs w:val="18"/>
                <w:b/>
                <w:bCs/>
              </w:rPr>
              <w:t xml:space="preserve">2. Hub-and-spoke: </w:t>
            </w:r>
            <w:r>
              <w:rPr>
                <w:rFonts w:ascii="Times New Roman" w:hAnsi="Times New Roman"/>
                <w:sz w:val="18"/>
                <w:szCs w:val="18"/>
              </w:rPr>
              <w:t xml:space="preserve">más adecuado para redes de salud con conectividad variable que la federación multi-FHIR. Reduce complejidad operacional preservando interoperabilidad completa.</w:t>
            </w:r>
          </w:p>
          <w:p>
            <w:pPr>
              <w:jc w:val="both"/>
              <w:spacing w:before="0" w:after="57150"/>
            </w:pPr>
            <w:r>
              <w:rPr>
                <w:rFonts w:ascii="Times New Roman" w:hAnsi="Times New Roman"/>
                <w:sz w:val="18"/>
                <w:szCs w:val="18"/>
                <w:b/>
                <w:bCs/>
              </w:rPr>
              <w:t xml:space="preserve">3. Circuit-breaker: </w:t>
            </w:r>
            <w:r>
              <w:rPr>
                <w:rFonts w:ascii="Times New Roman" w:hAnsi="Times New Roman"/>
                <w:sz w:val="18"/>
                <w:szCs w:val="18"/>
              </w:rPr>
              <w:t xml:space="preserve">esencial para degradación elegante. Protege las operaciones locales cuando el cloud no está disponible y retoma automáticamente.</w:t>
            </w:r>
          </w:p>
          <w:p>
            <w:pPr>
              <w:jc w:val="both"/>
              <w:spacing w:before="0" w:after="57150"/>
            </w:pPr>
            <w:r>
              <w:rPr>
                <w:rFonts w:ascii="Times New Roman" w:hAnsi="Times New Roman"/>
                <w:sz w:val="18"/>
                <w:szCs w:val="18"/>
                <w:b/>
                <w:bCs/>
              </w:rPr>
              <w:t xml:space="preserve">4. Observabilidad distribuida: </w:t>
            </w:r>
            <w:r>
              <w:rPr>
                <w:rFonts w:ascii="Times New Roman" w:hAnsi="Times New Roman"/>
                <w:sz w:val="18"/>
                <w:szCs w:val="18"/>
              </w:rPr>
              <w:t xml:space="preserve">Prometheus + Grafana con etiquetas por nodo permiten detectar y demostrar el comportamiento distribuido en tiempo real.</w:t>
            </w:r>
          </w:p>
          <w:p>
            <w:pPr>
              <w:jc w:val="both"/>
              <w:spacing w:before="0" w:after="57150"/>
            </w:pPr>
            <w:r>
              <w:rPr>
                <w:rFonts w:ascii="Times New Roman" w:hAnsi="Times New Roman"/>
                <w:sz w:val="18"/>
                <w:szCs w:val="18"/>
                <w:b/>
                <w:bCs/>
              </w:rPr>
              <w:t xml:space="preserve">5. FHIR R4: </w:t>
            </w:r>
            <w:r>
              <w:rPr>
                <w:rFonts w:ascii="Times New Roman" w:hAnsi="Times New Roman"/>
                <w:sz w:val="18"/>
                <w:szCs w:val="18"/>
              </w:rPr>
              <w:t xml:space="preserve">proporciona interoperabilidad universal independiente del esquema de cada nodo, alineado con la normativa del MSPS de Colombia.</w:t>
            </w:r>
          </w:p>
          <w:p>
            <w:pPr>
              <w:jc w:val="left"/>
              <w:spacing w:before="95250" w:after="38100"/>
            </w:pPr>
            <w:r>
              <w:rPr>
                <w:rFonts w:ascii="Times New Roman" w:hAnsi="Times New Roman"/>
                <w:sz w:val="18"/>
                <w:szCs w:val="18"/>
                <w:b/>
                <w:bCs/>
                <w:i/>
                <w:iCs/>
              </w:rPr>
              <w:t xml:space="preserve">Trabajo Futuro</w:t>
            </w:r>
          </w:p>
          <w:p>
            <w:pPr>
              <w:jc w:val="both"/>
              <w:spacing w:before="0" w:after="57150"/>
              <w:ind w:left="360"/>
            </w:pPr>
            <w:r>
              <w:rPr>
                <w:rFonts w:ascii="Times New Roman" w:hAnsi="Times New Roman"/>
                <w:sz w:val="18"/>
                <w:szCs w:val="18"/>
              </w:rPr>
              <w:t xml:space="preserve">•  PostgreSQL con Patroni/Repmgr para failover automático real.</w:t>
            </w:r>
          </w:p>
          <w:p>
            <w:pPr>
              <w:jc w:val="both"/>
              <w:spacing w:before="0" w:after="57150"/>
              <w:ind w:left="360"/>
            </w:pPr>
            <w:r>
              <w:rPr>
                <w:rFonts w:ascii="Times New Roman" w:hAnsi="Times New Roman"/>
                <w:sz w:val="18"/>
                <w:szCs w:val="18"/>
              </w:rPr>
              <w:t xml:space="preserve">•  OAuth2/OIDC (Keycloak) con roles clínicos RBAC.</w:t>
            </w:r>
          </w:p>
          <w:p>
            <w:pPr>
              <w:jc w:val="both"/>
              <w:spacing w:before="0" w:after="57150"/>
              <w:ind w:left="360"/>
            </w:pPr>
            <w:r>
              <w:rPr>
                <w:rFonts w:ascii="Times New Roman" w:hAnsi="Times New Roman"/>
                <w:sz w:val="18"/>
                <w:szCs w:val="18"/>
              </w:rPr>
              <w:t xml:space="preserve">•  Adoptar Guía IG-CO-CORE FHIR Colombia del MSPS.</w:t>
            </w:r>
          </w:p>
          <w:p>
            <w:pPr>
              <w:jc w:val="both"/>
              <w:spacing w:before="0" w:after="57150"/>
              <w:ind w:left="360"/>
            </w:pPr>
            <w:r>
              <w:rPr>
                <w:rFonts w:ascii="Times New Roman" w:hAnsi="Times New Roman"/>
                <w:sz w:val="18"/>
                <w:szCs w:val="18"/>
              </w:rPr>
              <w:t xml:space="preserve">•  Migrar a Kubernetes para escalabilidad y zero-downtime.</w:t>
            </w:r>
          </w:p>
          <w:p>
            <w:pPr>
              <w:jc w:val="left"/>
              <w:spacing w:before="190500" w:after="57150"/>
            </w:pPr>
            <w:r>
              <w:rPr>
                <w:rFonts w:ascii="Times New Roman" w:hAnsi="Times New Roman"/>
                <w:sz w:val="20"/>
                <w:szCs w:val="20"/>
                <w:b/>
                <w:bCs/>
              </w:rPr>
              <w:t xml:space="preserve">REFERENCIAS</w:t>
            </w:r>
          </w:p>
          <w:p>
            <w:pPr>
              <w:jc w:val="both"/>
              <w:spacing w:before="0" w:after="38100"/>
              <w:ind w:left="432"/>
            </w:pPr>
            <w:r>
              <w:rPr>
                <w:rFonts w:ascii="Times New Roman" w:hAnsi="Times New Roman"/>
                <w:sz w:val="16"/>
                <w:szCs w:val="16"/>
              </w:rPr>
              <w:t xml:space="preserve">[1] HL7 International, "HL7 FHIR Release 4 (v4.0.1)," 2019. [En línea]. Disponible: https://hl7.org/fhir/R4/</w:t>
            </w:r>
          </w:p>
          <w:p>
            <w:pPr>
              <w:jc w:val="both"/>
              <w:spacing w:before="0" w:after="38100"/>
              <w:ind w:left="432"/>
            </w:pPr>
            <w:r>
              <w:rPr>
                <w:rFonts w:ascii="Times New Roman" w:hAnsi="Times New Roman"/>
                <w:sz w:val="16"/>
                <w:szCs w:val="16"/>
              </w:rPr>
              <w:t xml:space="preserve">[2] University Health Network, "HAPI FHIR — The Open Source FHIR API for Java," 2023. Disponible: https://hapifhir.io/</w:t>
            </w:r>
          </w:p>
          <w:p>
            <w:pPr>
              <w:jc w:val="both"/>
              <w:spacing w:before="0" w:after="38100"/>
              <w:ind w:left="432"/>
            </w:pPr>
            <w:r>
              <w:rPr>
                <w:rFonts w:ascii="Times New Roman" w:hAnsi="Times New Roman"/>
                <w:sz w:val="16"/>
                <w:szCs w:val="16"/>
              </w:rPr>
              <w:t xml:space="preserve">[3] E. Brewer, "Towards Robust Distributed Systems," Proc. ACM PODC, 2000. doi: 10.1145/343477.343502</w:t>
            </w:r>
          </w:p>
          <w:p>
            <w:pPr>
              <w:jc w:val="both"/>
              <w:spacing w:before="0" w:after="38100"/>
              <w:ind w:left="432"/>
            </w:pPr>
            <w:r>
              <w:rPr>
                <w:rFonts w:ascii="Times New Roman" w:hAnsi="Times New Roman"/>
                <w:sz w:val="16"/>
                <w:szCs w:val="16"/>
              </w:rPr>
              <w:t xml:space="preserve">[4] C. Richardson, Microservices Patterns. Manning Publications, 2018. ISBN: 978-1617294549</w:t>
            </w:r>
          </w:p>
          <w:p>
            <w:pPr>
              <w:jc w:val="both"/>
              <w:spacing w:before="0" w:after="38100"/>
              <w:ind w:left="432"/>
            </w:pPr>
            <w:r>
              <w:rPr>
                <w:rFonts w:ascii="Times New Roman" w:hAnsi="Times New Roman"/>
                <w:sz w:val="16"/>
                <w:szCs w:val="16"/>
              </w:rPr>
              <w:t xml:space="preserve">[5] R. Nygard, Release It!: Design and Deploy Production-Ready Software. Pragmatic Bookshelf, 2007.</w:t>
            </w:r>
          </w:p>
          <w:p>
            <w:pPr>
              <w:jc w:val="both"/>
              <w:spacing w:before="0" w:after="38100"/>
              <w:ind w:left="432"/>
            </w:pPr>
            <w:r>
              <w:rPr>
                <w:rFonts w:ascii="Times New Roman" w:hAnsi="Times New Roman"/>
                <w:sz w:val="16"/>
                <w:szCs w:val="16"/>
              </w:rPr>
              <w:t xml:space="preserve">[6] Docker Inc., "Docker Compose Documentation," 2023. Disponible: https://docs.docker.com/compose/</w:t>
            </w:r>
          </w:p>
          <w:p>
            <w:pPr>
              <w:jc w:val="both"/>
              <w:spacing w:before="0" w:after="38100"/>
              <w:ind w:left="432"/>
            </w:pPr>
            <w:r>
              <w:rPr>
                <w:rFonts w:ascii="Times New Roman" w:hAnsi="Times New Roman"/>
                <w:sz w:val="16"/>
                <w:szCs w:val="16"/>
              </w:rPr>
              <w:t xml:space="preserve">[7] Prometheus Authors, "Prometheus Monitoring System," 2023. Disponible: https://prometheus.io/docs/</w:t>
            </w:r>
          </w:p>
          <w:p>
            <w:pPr>
              <w:jc w:val="both"/>
              <w:spacing w:before="0" w:after="38100"/>
              <w:ind w:left="432"/>
            </w:pPr>
            <w:r>
              <w:rPr>
                <w:rFonts w:ascii="Times New Roman" w:hAnsi="Times New Roman"/>
                <w:sz w:val="16"/>
                <w:szCs w:val="16"/>
              </w:rPr>
              <w:t xml:space="preserve">[8] Grafana Labs, "Grafana: The Open Observability Platform," 2023. Disponible: https://grafana.com/docs/</w:t>
            </w:r>
          </w:p>
          <w:p>
            <w:pPr>
              <w:jc w:val="both"/>
              <w:spacing w:before="0" w:after="38100"/>
              <w:ind w:left="432"/>
            </w:pPr>
            <w:r>
              <w:rPr>
                <w:rFonts w:ascii="Times New Roman" w:hAnsi="Times New Roman"/>
                <w:sz w:val="16"/>
                <w:szCs w:val="16"/>
              </w:rPr>
              <w:t xml:space="preserve">[9] The PostgreSQL Global Development Group, "PostgreSQL 15 Documentation," 2023. Disponible: https://www.postgresql.org/docs/15/</w:t>
            </w:r>
          </w:p>
          <w:p>
            <w:pPr>
              <w:jc w:val="both"/>
              <w:spacing w:before="0" w:after="38100"/>
              <w:ind w:left="432"/>
            </w:pPr>
            <w:r>
              <w:rPr>
                <w:rFonts w:ascii="Times New Roman" w:hAnsi="Times New Roman"/>
                <w:sz w:val="16"/>
                <w:szCs w:val="16"/>
              </w:rPr>
              <w:t xml:space="preserve">[10] S. Hassan et al., "Event-Driven Microservices for Healthcare Data Integration," IEEE Access, vol. 10, pp. 45821-45835, 2022.</w:t>
            </w:r>
          </w:p>
          <w:p>
            <w:pPr>
              <w:jc w:val="both"/>
              <w:spacing w:before="0" w:after="38100"/>
              <w:ind w:left="432"/>
            </w:pPr>
            <w:r>
              <w:rPr>
                <w:rFonts w:ascii="Times New Roman" w:hAnsi="Times New Roman"/>
                <w:sz w:val="16"/>
                <w:szCs w:val="16"/>
              </w:rPr>
              <w:t xml:space="preserve">[11] MSPS Colombia, "Política de Atención Integral en Salud (PAIS)," Resolución 429, 2016. Disponible: https://www.minsalud.gov.co/</w:t>
            </w:r>
          </w:p>
          <w:p>
            <w:pPr>
              <w:jc w:val="both"/>
              <w:spacing w:before="0" w:after="38100"/>
              <w:ind w:left="432"/>
            </w:pPr>
            <w:r>
              <w:rPr>
                <w:rFonts w:ascii="Times New Roman" w:hAnsi="Times New Roman"/>
                <w:sz w:val="16"/>
                <w:szCs w:val="16"/>
              </w:rPr>
              <w:t xml:space="preserve">[12] IHE International, "IHE IT Infrastructure — XDS.b," 2021. Disponible: https://www.ihe.net/resources/technical_frameworks/</w:t>
            </w:r>
          </w:p>
          <w:p>
            <w:pPr>
              <w:jc w:val="both"/>
              <w:spacing w:before="0" w:after="38100"/>
              <w:ind w:left="432"/>
            </w:pPr>
            <w:r>
              <w:rPr>
                <w:rFonts w:ascii="Times New Roman" w:hAnsi="Times New Roman"/>
                <w:sz w:val="16"/>
                <w:szCs w:val="16"/>
              </w:rPr>
              <w:t xml:space="preserve">[13] FastAPI Project, "FastAPI Documentation," 2023. Disponible: https://fastapi.tiangolo.com/</w:t>
            </w:r>
          </w:p>
          <w:p>
            <w:pPr>
              <w:jc w:val="both"/>
              <w:spacing w:before="0" w:after="38100"/>
              <w:ind w:left="432"/>
            </w:pPr>
            <w:r>
              <w:rPr>
                <w:rFonts w:ascii="Times New Roman" w:hAnsi="Times New Roman"/>
                <w:sz w:val="16"/>
                <w:szCs w:val="16"/>
              </w:rPr>
              <w:t xml:space="preserve">[14] MSPS Colombia, "Manual Triage 5 Niveles — Urgencias," 2015. Disponible: https://www.minsalud.gov.co/</w:t>
            </w:r>
          </w:p>
          <w:p>
            <w:pPr>
              <w:jc w:val="both"/>
              <w:spacing w:before="0" w:after="38100"/>
              <w:ind w:left="432"/>
            </w:pPr>
            <w:r>
              <w:rPr>
                <w:rFonts w:ascii="Times New Roman" w:hAnsi="Times New Roman"/>
                <w:sz w:val="16"/>
                <w:szCs w:val="16"/>
              </w:rPr>
              <w:t xml:space="preserve">[15] RabbitMQ Project, "RabbitMQ Documentation," 2023. Disponible: https://www.rabbitmq.com/documentation.html</w:t>
            </w:r>
          </w:p>
        </w:tc>
      </w:tr>
    </w:tbl>
    <w:p>
      <w:pPr>
        <w:jc w:val="center"/>
        <w:spacing w:before="177800" w:after="50800"/>
      </w:pPr>
      <w:r>
        <w:rPr>
          <w:rFonts w:ascii="Times New Roman" w:hAnsi="Times New Roman"/>
          <w:sz w:val="14"/>
          <w:szCs w:val="14"/>
          <w:i/>
          <w:color w:val="888888"/>
        </w:rPr>
        <w:t xml:space="preserve">────────────────────────────────────────────────────────────────────────</w:t>
      </w:r>
    </w:p>
    <w:p>
      <w:pPr>
        <w:jc w:val="center"/>
        <w:spacing w:before="76200" w:after="76200"/>
      </w:pPr>
      <w:r>
        <w:rPr>
          <w:rFonts w:ascii="Times New Roman" w:hAnsi="Times New Roman"/>
          <w:sz w:val="22"/>
          <w:szCs w:val="22"/>
          <w:b/>
        </w:rPr>
        <w:t xml:space="preserve">GUION BREVE PARA SUSTENTACIÓN</w:t>
      </w:r>
    </w:p>
    <w:p>
      <w:pPr>
        <w:jc w:val="center"/>
        <w:spacing w:before="0" w:after="101600"/>
      </w:pPr>
      <w:r>
        <w:rPr>
          <w:rFonts w:ascii="Times New Roman" w:hAnsi="Times New Roman"/>
          <w:sz w:val="18"/>
          <w:szCs w:val="18"/>
          <w:i/>
        </w:rPr>
        <w:t xml:space="preserve">Universidad de Sucre — Sistemas Distribuidos 2026</w:t>
      </w:r>
    </w:p>
    <w:p>
      <w:pPr>
        <w:jc w:val="left"/>
        <w:spacing w:before="76200" w:after="25400"/>
      </w:pPr>
      <w:r>
        <w:rPr>
          <w:rFonts w:ascii="Times New Roman" w:hAnsi="Times New Roman"/>
          <w:sz w:val="20"/>
          <w:szCs w:val="20"/>
          <w:b/>
        </w:rPr>
        <w:t xml:space="preserve">1. Apertura (~1 min)</w:t>
      </w:r>
    </w:p>
    <w:p>
      <w:pPr>
        <w:jc w:val="both"/>
        <w:spacing w:before="0" w:after="50800"/>
      </w:pPr>
      <w:r>
        <w:rPr>
          <w:rFonts w:ascii="Times New Roman" w:hAnsi="Times New Roman"/>
          <w:sz w:val="18"/>
          <w:szCs w:val="18"/>
          <w:i/>
        </w:rPr>
        <w:t xml:space="preserve">"Buenos días. Presento un HIS Distribuido que resuelve: ¿cómo tres hospitales en Sincelejo, Bogotá y Medellín comparten la historia clínica de sus pacientes aunque la conexión entre ellos falle? Tres conceptos clave: microservicios FastAPI, estándar FHIR R4 de HL7, y el patrón Outbox que garantiza que ningún dato se pierda."</w:t>
      </w:r>
    </w:p>
    <w:p>
      <w:pPr>
        <w:jc w:val="left"/>
        <w:spacing w:before="76200" w:after="25400"/>
      </w:pPr>
      <w:r>
        <w:rPr>
          <w:rFonts w:ascii="Times New Roman" w:hAnsi="Times New Roman"/>
          <w:sz w:val="20"/>
          <w:szCs w:val="20"/>
          <w:b/>
        </w:rPr>
        <w:t xml:space="preserve">2. Dashboard (~1 min)</w:t>
      </w:r>
    </w:p>
    <w:p>
      <w:pPr>
        <w:jc w:val="both"/>
        <w:spacing w:before="0" w:after="50800"/>
      </w:pPr>
      <w:r>
        <w:rPr>
          <w:rFonts w:ascii="Times New Roman" w:hAnsi="Times New Roman"/>
          <w:sz w:val="18"/>
          <w:szCs w:val="18"/>
          <w:i/>
        </w:rPr>
        <w:t xml:space="preserve">"El dashboard muestra en tiempo real el estado de los tres nodos (verde=activo, rojo=caído), el contador de pacientes por sede y las métricas del outbox. Se actualiza automáticamente cada 30 s."</w:t>
      </w:r>
    </w:p>
    <w:p>
      <w:pPr>
        <w:jc w:val="left"/>
        <w:spacing w:before="76200" w:after="25400"/>
      </w:pPr>
      <w:r>
        <w:rPr>
          <w:rFonts w:ascii="Times New Roman" w:hAnsi="Times New Roman"/>
          <w:sz w:val="20"/>
          <w:szCs w:val="20"/>
          <w:b/>
        </w:rPr>
        <w:t xml:space="preserve">3. Registro de Paciente (~2 min)</w:t>
      </w:r>
    </w:p>
    <w:p>
      <w:pPr>
        <w:jc w:val="both"/>
        <w:spacing w:before="0" w:after="50800"/>
      </w:pPr>
      <w:r>
        <w:rPr>
          <w:rFonts w:ascii="Times New Roman" w:hAnsi="Times New Roman"/>
          <w:sz w:val="18"/>
          <w:szCs w:val="18"/>
          <w:i/>
        </w:rPr>
        <w:t xml:space="preserve">"Registro un paciente en Sincelejo: Gateway valida JWT, Patient Service guarda en pg_nodo1 y crea un evento outbox pendiente. En &lt; 5 s el OutboxPoller lo envía a HAPI FHIR. El KPI del dashboard sube de inmediato."</w:t>
      </w:r>
    </w:p>
    <w:p>
      <w:pPr>
        <w:jc w:val="left"/>
        <w:spacing w:before="76200" w:after="25400"/>
      </w:pPr>
      <w:r>
        <w:rPr>
          <w:rFonts w:ascii="Times New Roman" w:hAnsi="Times New Roman"/>
          <w:sz w:val="20"/>
          <w:szCs w:val="20"/>
          <w:b/>
        </w:rPr>
        <w:t xml:space="preserve">4. Historia Clínica + Triage (~2 min)</w:t>
      </w:r>
    </w:p>
    <w:p>
      <w:pPr>
        <w:jc w:val="both"/>
        <w:spacing w:before="0" w:after="50800"/>
      </w:pPr>
      <w:r>
        <w:rPr>
          <w:rFonts w:ascii="Times New Roman" w:hAnsi="Times New Roman"/>
          <w:sz w:val="18"/>
          <w:szCs w:val="18"/>
          <w:i/>
        </w:rPr>
        <w:t xml:space="preserve">"Cargo la HC: ingreso signos vitales, hago clic en Sugerir Nivel de Triage — el sistema asigna Nivel III: Urgente según el protocolo del MSPS. Agrego diagnóstico CIE-10 y prescripción. Se generan cinco recursos FHIR: Encounter, Observations, Condition y MedicationRequest."</w:t>
      </w:r>
    </w:p>
    <w:p>
      <w:pPr>
        <w:jc w:val="left"/>
        <w:spacing w:before="76200" w:after="25400"/>
      </w:pPr>
      <w:r>
        <w:rPr>
          <w:rFonts w:ascii="Times New Roman" w:hAnsi="Times New Roman"/>
          <w:sz w:val="20"/>
          <w:szCs w:val="20"/>
          <w:b/>
        </w:rPr>
        <w:t xml:space="preserve">5. Consulta Interoperable (~2 min)</w:t>
      </w:r>
    </w:p>
    <w:p>
      <w:pPr>
        <w:jc w:val="both"/>
        <w:spacing w:before="0" w:after="50800"/>
      </w:pPr>
      <w:r>
        <w:rPr>
          <w:rFonts w:ascii="Times New Roman" w:hAnsi="Times New Roman"/>
          <w:sz w:val="18"/>
          <w:szCs w:val="18"/>
          <w:i/>
        </w:rPr>
        <w:t xml:space="preserve">"Simulo que el paciente llega a Bogotá: busco su cédula, el sistema lo encuentra en HAPI FHIR (no localmente), aparece como remoto. Hago clic en Importar: en &lt; 1 s tengo la historia clínica completa en la base de datos de Bogotá."</w:t>
      </w:r>
    </w:p>
    <w:p>
      <w:pPr>
        <w:jc w:val="left"/>
        <w:spacing w:before="76200" w:after="25400"/>
      </w:pPr>
      <w:r>
        <w:rPr>
          <w:rFonts w:ascii="Times New Roman" w:hAnsi="Times New Roman"/>
          <w:sz w:val="20"/>
          <w:szCs w:val="20"/>
          <w:b/>
        </w:rPr>
        <w:t xml:space="preserve">6. Tolerancia a Fallos (~2 min)</w:t>
      </w:r>
    </w:p>
    <w:p>
      <w:pPr>
        <w:jc w:val="both"/>
        <w:spacing w:before="0" w:after="50800"/>
      </w:pPr>
      <w:r>
        <w:rPr>
          <w:rFonts w:ascii="Times New Roman" w:hAnsi="Times New Roman"/>
          <w:sz w:val="18"/>
          <w:szCs w:val="18"/>
          <w:i/>
        </w:rPr>
        <w:t xml:space="preserve">"Caída Sincelejo: el indicador se pone rojo. Intentos en Sincelejo reciben error 503 controlado; Bogotá funciona normal. El pending sube en Grafana. Restauro: en &lt; 5 s el OutboxPoller procesa todo el backlog automáticamente y el pending vuelve a cero."</w:t>
      </w:r>
    </w:p>
    <w:p>
      <w:pPr>
        <w:jc w:val="left"/>
        <w:spacing w:before="76200" w:after="25400"/>
      </w:pPr>
      <w:r>
        <w:rPr>
          <w:rFonts w:ascii="Times New Roman" w:hAnsi="Times New Roman"/>
          <w:sz w:val="20"/>
          <w:szCs w:val="20"/>
          <w:b/>
        </w:rPr>
        <w:t xml:space="preserve">7. Prometheus y Grafana (~1 min)</w:t>
      </w:r>
    </w:p>
    <w:p>
      <w:pPr>
        <w:jc w:val="both"/>
        <w:spacing w:before="0" w:after="50800"/>
      </w:pPr>
      <w:r>
        <w:rPr>
          <w:rFonts w:ascii="Times New Roman" w:hAnsi="Times New Roman"/>
          <w:sz w:val="18"/>
          <w:szCs w:val="18"/>
          <w:i/>
        </w:rPr>
        <w:t xml:space="preserve">"En Prometheus veo 9 targets en estado UP. En Grafana, el dashboard muestra outbox, HTTP rates, RabbitMQ y PostgreSQL por nodo con etiquetas Sincelejo, Bogotá y Medellín en tiempo real."</w:t>
      </w:r>
    </w:p>
    <w:p>
      <w:pPr>
        <w:jc w:val="left"/>
        <w:spacing w:before="76200" w:after="25400"/>
      </w:pPr>
      <w:r>
        <w:rPr>
          <w:rFonts w:ascii="Times New Roman" w:hAnsi="Times New Roman"/>
          <w:sz w:val="20"/>
          <w:szCs w:val="20"/>
          <w:b/>
        </w:rPr>
        <w:t xml:space="preserve">8. Cierre y Preguntas (~1 min)</w:t>
      </w:r>
    </w:p>
    <w:p>
      <w:pPr>
        <w:jc w:val="both"/>
        <w:spacing w:before="0" w:after="50800"/>
      </w:pPr>
      <w:r>
        <w:rPr>
          <w:rFonts w:ascii="Times New Roman" w:hAnsi="Times New Roman"/>
          <w:sz w:val="18"/>
          <w:szCs w:val="18"/>
          <w:i/>
        </w:rPr>
        <w:t xml:space="preserve">"Resumen: HIS distribuido con Outbox, FHIR R4, circuit-breaker y observabilidad completa. Código abierto en GitHub. Preguntas frecuentes: (a) ¿Un solo HAPI FHIR? → Hub-and-spoke intencional, igual que RNEC/RNDS. (b) ¿Sharding o replicación? → Sharding por rango de cédula; cada sede tiene su BD propia. (c) ¿Cómo no se pierden datos? → INSERT clínico + INSERT outbox son una sola transacción PostgreSQL."</w:t>
      </w:r>
    </w:p>
    <w:sectPr>
      <w:head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99" w:sz="4" w:space="4"/>
      </w:pBdr>
      <w:spacing w:after="60" w:before="0"/>
      <w:jc w:val="right"/>
    </w:pPr>
    <w:r>
      <w:rPr>
        <w:rFonts w:ascii="Times New Roman" w:cs="Times New Roman" w:eastAsia="Times New Roman" w:hAnsi="Times New Roman"/>
        <w:color w:val="555555"/>
        <w:sz w:val="16"/>
        <w:szCs w:val="16"/>
      </w:rPr>
      <w:t xml:space="preserve">Sistemas Distribuidos — Semestre 2026-1  |  Página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2026-05-21T19:06:16.009Z</dcterms:created>
  <dcterms:modified xsi:type="dcterms:W3CDTF">2026-05-21T19:06:16.009Z</dcterms:modified>
</cp:coreProperties>
</file>

<file path=docProps/custom.xml><?xml version="1.0" encoding="utf-8"?>
<Properties xmlns="http://schemas.openxmlformats.org/officeDocument/2006/custom-properties" xmlns:vt="http://schemas.openxmlformats.org/officeDocument/2006/docPropsVTypes"/>
</file>