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75F5" w:rsidRPr="00E94786" w:rsidRDefault="001A14A1" w:rsidP="000879EE">
      <w:pPr>
        <w:jc w:val="center"/>
        <w:rPr>
          <w:rFonts w:ascii="Helvetica" w:hAnsi="Helvetica" w:cs="Arial"/>
          <w:sz w:val="32"/>
          <w:szCs w:val="32"/>
        </w:rPr>
      </w:pPr>
      <w:bookmarkStart w:id="0" w:name="_GoBack"/>
      <w:bookmarkEnd w:id="0"/>
      <w:r w:rsidRPr="00E94786">
        <w:rPr>
          <w:rFonts w:ascii="Helvetica" w:hAnsi="Helvetica" w:cs="Arial"/>
          <w:sz w:val="32"/>
          <w:szCs w:val="32"/>
        </w:rPr>
        <w:t>Course Syllabus</w:t>
      </w:r>
    </w:p>
    <w:p w:rsidR="000879EE" w:rsidRPr="00E94786" w:rsidRDefault="009447D8" w:rsidP="000879EE">
      <w:pPr>
        <w:jc w:val="center"/>
        <w:rPr>
          <w:rFonts w:ascii="Helvetica" w:hAnsi="Helvetica" w:cs="Arial"/>
          <w:sz w:val="32"/>
          <w:szCs w:val="32"/>
        </w:rPr>
      </w:pPr>
    </w:p>
    <w:p w:rsidR="000879EE" w:rsidRPr="00E94786" w:rsidRDefault="001A14A1" w:rsidP="000879EE">
      <w:pPr>
        <w:jc w:val="center"/>
        <w:rPr>
          <w:rFonts w:ascii="Helvetica" w:hAnsi="Helvetica" w:cs="Arial"/>
          <w:sz w:val="32"/>
          <w:szCs w:val="32"/>
        </w:rPr>
      </w:pPr>
      <w:r>
        <w:rPr>
          <w:rFonts w:ascii="Helvetica" w:hAnsi="Helvetica" w:cs="Arial"/>
          <w:sz w:val="32"/>
          <w:szCs w:val="32"/>
        </w:rPr>
        <w:t>GOV 385</w:t>
      </w:r>
      <w:r w:rsidRPr="00E94786">
        <w:rPr>
          <w:rFonts w:ascii="Helvetica" w:hAnsi="Helvetica" w:cs="Arial"/>
          <w:sz w:val="32"/>
          <w:szCs w:val="32"/>
        </w:rPr>
        <w:t xml:space="preserve">L: </w:t>
      </w:r>
      <w:r>
        <w:rPr>
          <w:rFonts w:ascii="Helvetica" w:hAnsi="Helvetica" w:cs="Arial"/>
          <w:sz w:val="32"/>
          <w:szCs w:val="32"/>
        </w:rPr>
        <w:t>Survey Design and Analysis</w:t>
      </w:r>
    </w:p>
    <w:p w:rsidR="000879EE" w:rsidRPr="00E94786" w:rsidRDefault="009447D8" w:rsidP="000879EE">
      <w:pPr>
        <w:jc w:val="center"/>
        <w:rPr>
          <w:rFonts w:ascii="Helvetica" w:hAnsi="Helvetica" w:cs="Arial"/>
          <w:sz w:val="32"/>
          <w:szCs w:val="32"/>
        </w:rPr>
      </w:pPr>
    </w:p>
    <w:p w:rsidR="000879EE" w:rsidRPr="00E94786" w:rsidRDefault="001A14A1" w:rsidP="000879EE">
      <w:pPr>
        <w:jc w:val="center"/>
        <w:rPr>
          <w:rFonts w:ascii="Helvetica" w:hAnsi="Helvetica" w:cs="Arial"/>
          <w:sz w:val="32"/>
          <w:szCs w:val="32"/>
        </w:rPr>
      </w:pPr>
      <w:r>
        <w:rPr>
          <w:rFonts w:ascii="Helvetica" w:hAnsi="Helvetica" w:cs="Arial"/>
          <w:sz w:val="32"/>
          <w:szCs w:val="32"/>
        </w:rPr>
        <w:t>Fall 2012</w:t>
      </w:r>
    </w:p>
    <w:p w:rsidR="000879EE" w:rsidRPr="00E94786" w:rsidRDefault="001A14A1" w:rsidP="000879EE">
      <w:pPr>
        <w:jc w:val="center"/>
        <w:rPr>
          <w:rFonts w:ascii="Helvetica" w:hAnsi="Helvetica" w:cs="Arial"/>
          <w:sz w:val="28"/>
          <w:szCs w:val="28"/>
        </w:rPr>
      </w:pPr>
      <w:r>
        <w:rPr>
          <w:rFonts w:ascii="Helvetica" w:hAnsi="Helvetica" w:cs="Arial"/>
          <w:sz w:val="28"/>
          <w:szCs w:val="28"/>
        </w:rPr>
        <w:t>W 9:30-12:30</w:t>
      </w:r>
    </w:p>
    <w:p w:rsidR="000879EE" w:rsidRPr="00E94786" w:rsidRDefault="001A14A1" w:rsidP="000879EE">
      <w:pPr>
        <w:jc w:val="center"/>
        <w:rPr>
          <w:rFonts w:ascii="Helvetica" w:hAnsi="Helvetica" w:cs="Arial"/>
          <w:sz w:val="28"/>
          <w:szCs w:val="28"/>
        </w:rPr>
      </w:pPr>
      <w:proofErr w:type="spellStart"/>
      <w:r>
        <w:rPr>
          <w:rFonts w:ascii="Helvetica" w:hAnsi="Helvetica" w:cs="Arial"/>
          <w:sz w:val="28"/>
          <w:szCs w:val="28"/>
        </w:rPr>
        <w:t>Batts</w:t>
      </w:r>
      <w:proofErr w:type="spellEnd"/>
      <w:r>
        <w:rPr>
          <w:rFonts w:ascii="Helvetica" w:hAnsi="Helvetica" w:cs="Arial"/>
          <w:sz w:val="28"/>
          <w:szCs w:val="28"/>
        </w:rPr>
        <w:t xml:space="preserve"> 5.102</w:t>
      </w:r>
    </w:p>
    <w:p w:rsidR="000879EE" w:rsidRPr="00E94786" w:rsidRDefault="001A14A1" w:rsidP="000879EE">
      <w:pPr>
        <w:jc w:val="center"/>
        <w:rPr>
          <w:rFonts w:ascii="Helvetica" w:hAnsi="Helvetica" w:cs="Arial"/>
          <w:sz w:val="28"/>
          <w:szCs w:val="28"/>
        </w:rPr>
      </w:pPr>
      <w:r w:rsidRPr="00E94786">
        <w:rPr>
          <w:rFonts w:ascii="Helvetica" w:hAnsi="Helvetica" w:cs="Arial"/>
          <w:sz w:val="28"/>
          <w:szCs w:val="28"/>
        </w:rPr>
        <w:t>Unique #</w:t>
      </w:r>
      <w:r>
        <w:rPr>
          <w:rFonts w:ascii="Helvetica" w:hAnsi="Helvetica" w:cs="Arial"/>
          <w:sz w:val="28"/>
          <w:szCs w:val="28"/>
        </w:rPr>
        <w:t xml:space="preserve"> 38930</w:t>
      </w:r>
    </w:p>
    <w:p w:rsidR="000879EE" w:rsidRPr="00E94786" w:rsidRDefault="009447D8" w:rsidP="000879EE">
      <w:pPr>
        <w:jc w:val="center"/>
        <w:rPr>
          <w:rFonts w:ascii="Helvetica" w:hAnsi="Helvetica" w:cs="Arial"/>
          <w:sz w:val="28"/>
          <w:szCs w:val="28"/>
        </w:rPr>
      </w:pPr>
    </w:p>
    <w:p w:rsidR="00D73C84" w:rsidRDefault="001A14A1" w:rsidP="000879EE">
      <w:pPr>
        <w:jc w:val="center"/>
        <w:rPr>
          <w:rFonts w:ascii="Helvetica" w:hAnsi="Helvetica" w:cs="Arial"/>
          <w:b/>
        </w:rPr>
      </w:pPr>
      <w:r w:rsidRPr="00E94786">
        <w:rPr>
          <w:rFonts w:ascii="Helvetica" w:hAnsi="Helvetica" w:cs="Arial"/>
          <w:b/>
        </w:rPr>
        <w:t>Professor</w:t>
      </w:r>
      <w:r>
        <w:rPr>
          <w:rFonts w:ascii="Helvetica" w:hAnsi="Helvetica" w:cs="Arial"/>
          <w:b/>
        </w:rPr>
        <w:t>s:</w:t>
      </w:r>
      <w:r w:rsidRPr="00E94786">
        <w:rPr>
          <w:rFonts w:ascii="Helvetica" w:hAnsi="Helvetica" w:cs="Arial"/>
          <w:b/>
        </w:rPr>
        <w:t xml:space="preserve"> </w:t>
      </w:r>
    </w:p>
    <w:p w:rsidR="00D73C84" w:rsidRPr="00D73C84" w:rsidRDefault="009447D8" w:rsidP="000879EE">
      <w:pPr>
        <w:jc w:val="center"/>
        <w:rPr>
          <w:rFonts w:ascii="Helvetica" w:hAnsi="Helvetica" w:cs="Arial"/>
          <w:b/>
          <w:sz w:val="8"/>
          <w:szCs w:val="8"/>
        </w:rPr>
      </w:pPr>
    </w:p>
    <w:p w:rsidR="00D73C84" w:rsidRDefault="001A14A1" w:rsidP="000879EE">
      <w:pPr>
        <w:jc w:val="center"/>
        <w:rPr>
          <w:rFonts w:ascii="Helvetica" w:hAnsi="Helvetica" w:cs="Arial"/>
          <w:b/>
        </w:rPr>
      </w:pPr>
      <w:r>
        <w:rPr>
          <w:rFonts w:ascii="Helvetica" w:hAnsi="Helvetica" w:cs="Arial"/>
          <w:b/>
        </w:rPr>
        <w:t>Bethany Albertson</w:t>
      </w:r>
    </w:p>
    <w:p w:rsidR="00D73C84" w:rsidRDefault="001A14A1" w:rsidP="000879EE">
      <w:pPr>
        <w:jc w:val="center"/>
        <w:rPr>
          <w:rFonts w:ascii="Helvetica" w:hAnsi="Helvetica" w:cs="Arial"/>
        </w:rPr>
      </w:pPr>
      <w:r w:rsidRPr="00583FA6">
        <w:rPr>
          <w:rFonts w:ascii="Helvetica" w:hAnsi="Helvetica" w:cs="Arial"/>
        </w:rPr>
        <w:t>balberts@austin.utexas.edu</w:t>
      </w:r>
    </w:p>
    <w:p w:rsidR="00D73C84" w:rsidRDefault="001A14A1" w:rsidP="000879EE">
      <w:pPr>
        <w:jc w:val="center"/>
        <w:rPr>
          <w:rFonts w:ascii="Helvetica" w:hAnsi="Helvetica" w:cs="Arial"/>
        </w:rPr>
      </w:pPr>
      <w:r w:rsidRPr="00D73C84">
        <w:rPr>
          <w:rFonts w:ascii="Helvetica" w:hAnsi="Helvetica" w:cs="Arial"/>
          <w:u w:val="single"/>
        </w:rPr>
        <w:t>Office Hours</w:t>
      </w:r>
      <w:r>
        <w:rPr>
          <w:rFonts w:ascii="Helvetica" w:hAnsi="Helvetica" w:cs="Arial"/>
        </w:rPr>
        <w:t>: M 1-4</w:t>
      </w:r>
    </w:p>
    <w:p w:rsidR="00D73C84" w:rsidRDefault="001A14A1" w:rsidP="000879EE">
      <w:pPr>
        <w:jc w:val="center"/>
        <w:rPr>
          <w:rFonts w:ascii="Helvetica" w:hAnsi="Helvetica" w:cs="Arial"/>
        </w:rPr>
      </w:pPr>
      <w:proofErr w:type="spellStart"/>
      <w:r>
        <w:rPr>
          <w:rFonts w:ascii="Helvetica" w:hAnsi="Helvetica" w:cs="Arial"/>
        </w:rPr>
        <w:t>Batts</w:t>
      </w:r>
      <w:proofErr w:type="spellEnd"/>
      <w:r>
        <w:rPr>
          <w:rFonts w:ascii="Helvetica" w:hAnsi="Helvetica" w:cs="Arial"/>
        </w:rPr>
        <w:t xml:space="preserve"> 4.124</w:t>
      </w:r>
    </w:p>
    <w:p w:rsidR="00D73C84" w:rsidRPr="00D73C84" w:rsidRDefault="009447D8" w:rsidP="000879EE">
      <w:pPr>
        <w:jc w:val="center"/>
        <w:rPr>
          <w:rFonts w:ascii="Helvetica" w:hAnsi="Helvetica" w:cs="Arial"/>
          <w:sz w:val="8"/>
          <w:szCs w:val="8"/>
        </w:rPr>
      </w:pPr>
    </w:p>
    <w:p w:rsidR="000879EE" w:rsidRPr="00D73C84" w:rsidRDefault="001A14A1" w:rsidP="00D73C84">
      <w:pPr>
        <w:jc w:val="center"/>
        <w:rPr>
          <w:rFonts w:ascii="Helvetica" w:hAnsi="Helvetica" w:cs="Arial"/>
          <w:b/>
        </w:rPr>
      </w:pPr>
      <w:r w:rsidRPr="00E94786">
        <w:rPr>
          <w:rFonts w:ascii="Helvetica" w:hAnsi="Helvetica" w:cs="Arial"/>
          <w:b/>
        </w:rPr>
        <w:t xml:space="preserve">Stephen </w:t>
      </w:r>
      <w:proofErr w:type="spellStart"/>
      <w:r w:rsidRPr="00E94786">
        <w:rPr>
          <w:rFonts w:ascii="Helvetica" w:hAnsi="Helvetica" w:cs="Arial"/>
          <w:b/>
        </w:rPr>
        <w:t>Jessee</w:t>
      </w:r>
      <w:proofErr w:type="spellEnd"/>
    </w:p>
    <w:p w:rsidR="000879EE" w:rsidRPr="00E94786" w:rsidRDefault="001A14A1" w:rsidP="000879EE">
      <w:pPr>
        <w:jc w:val="center"/>
        <w:rPr>
          <w:rFonts w:ascii="Helvetica" w:hAnsi="Helvetica" w:cs="Arial"/>
        </w:rPr>
      </w:pPr>
      <w:r>
        <w:rPr>
          <w:rFonts w:ascii="Helvetica" w:hAnsi="Helvetica" w:cs="Arial"/>
        </w:rPr>
        <w:t>sjessee@</w:t>
      </w:r>
      <w:r w:rsidRPr="00E94786">
        <w:rPr>
          <w:rFonts w:ascii="Helvetica" w:hAnsi="Helvetica" w:cs="Arial"/>
        </w:rPr>
        <w:t>utexas.edu</w:t>
      </w:r>
    </w:p>
    <w:p w:rsidR="000B54C9" w:rsidRDefault="001A14A1" w:rsidP="00A37AAC">
      <w:pPr>
        <w:jc w:val="center"/>
        <w:rPr>
          <w:rFonts w:ascii="Helvetica" w:hAnsi="Helvetica" w:cs="Arial"/>
        </w:rPr>
      </w:pPr>
      <w:r>
        <w:rPr>
          <w:rFonts w:ascii="Helvetica" w:hAnsi="Helvetica" w:cs="Arial"/>
          <w:u w:val="single"/>
        </w:rPr>
        <w:t>Office Hours:</w:t>
      </w:r>
      <w:r w:rsidRPr="00F05C0D">
        <w:rPr>
          <w:rFonts w:ascii="Helvetica" w:hAnsi="Helvetica" w:cs="Arial"/>
        </w:rPr>
        <w:t xml:space="preserve"> </w:t>
      </w:r>
      <w:r>
        <w:rPr>
          <w:rFonts w:ascii="Helvetica" w:hAnsi="Helvetica" w:cs="Arial"/>
        </w:rPr>
        <w:t>M 9-12</w:t>
      </w:r>
    </w:p>
    <w:p w:rsidR="000A7E37" w:rsidRDefault="001A14A1" w:rsidP="000879EE">
      <w:pPr>
        <w:jc w:val="center"/>
        <w:rPr>
          <w:rFonts w:ascii="Helvetica" w:hAnsi="Helvetica" w:cs="Arial"/>
        </w:rPr>
      </w:pPr>
      <w:proofErr w:type="spellStart"/>
      <w:r>
        <w:rPr>
          <w:rFonts w:ascii="Helvetica" w:hAnsi="Helvetica" w:cs="Arial"/>
        </w:rPr>
        <w:t>Batts</w:t>
      </w:r>
      <w:proofErr w:type="spellEnd"/>
      <w:r>
        <w:rPr>
          <w:rFonts w:ascii="Helvetica" w:hAnsi="Helvetica" w:cs="Arial"/>
        </w:rPr>
        <w:t xml:space="preserve"> 4.128</w:t>
      </w:r>
    </w:p>
    <w:p w:rsidR="00155AD1" w:rsidRDefault="009447D8" w:rsidP="000879EE">
      <w:pPr>
        <w:jc w:val="center"/>
        <w:rPr>
          <w:rFonts w:ascii="Helvetica" w:hAnsi="Helvetica" w:cs="Arial"/>
        </w:rPr>
      </w:pPr>
    </w:p>
    <w:p w:rsidR="000879EE" w:rsidRPr="00E94786" w:rsidRDefault="009447D8" w:rsidP="000879EE">
      <w:pPr>
        <w:jc w:val="center"/>
        <w:rPr>
          <w:rFonts w:ascii="Helvetica" w:hAnsi="Helvetica" w:cs="Arial"/>
          <w:b/>
        </w:rPr>
      </w:pPr>
    </w:p>
    <w:p w:rsidR="00107EB5" w:rsidRDefault="009447D8">
      <w:pPr>
        <w:rPr>
          <w:rFonts w:ascii="Helvetica" w:hAnsi="Helvetica" w:cs="Arial"/>
        </w:rPr>
      </w:pPr>
    </w:p>
    <w:p w:rsidR="00107EB5" w:rsidRPr="00E94786" w:rsidRDefault="009447D8">
      <w:pPr>
        <w:rPr>
          <w:rFonts w:ascii="Helvetica" w:hAnsi="Helvetica" w:cs="Arial"/>
        </w:rPr>
      </w:pPr>
    </w:p>
    <w:p w:rsidR="00BF0A87" w:rsidRDefault="001A14A1" w:rsidP="000879EE">
      <w:pPr>
        <w:jc w:val="center"/>
        <w:rPr>
          <w:rFonts w:ascii="Helvetica" w:hAnsi="Helvetica" w:cs="Arial"/>
          <w:b/>
        </w:rPr>
      </w:pPr>
      <w:r w:rsidRPr="00E94786">
        <w:rPr>
          <w:rFonts w:ascii="Helvetica" w:hAnsi="Helvetica" w:cs="Arial"/>
          <w:b/>
        </w:rPr>
        <w:t>Course Description and Format</w:t>
      </w:r>
    </w:p>
    <w:p w:rsidR="00BF0A87" w:rsidRDefault="009447D8" w:rsidP="000879EE">
      <w:pPr>
        <w:jc w:val="center"/>
        <w:rPr>
          <w:rFonts w:ascii="Helvetica" w:hAnsi="Helvetica" w:cs="Arial"/>
          <w:b/>
        </w:rPr>
      </w:pPr>
    </w:p>
    <w:p w:rsidR="00BF0A87" w:rsidRPr="0012661D" w:rsidRDefault="001A14A1" w:rsidP="00BF0A87">
      <w:pPr>
        <w:widowControl w:val="0"/>
        <w:autoSpaceDE w:val="0"/>
        <w:autoSpaceDN w:val="0"/>
        <w:adjustRightInd w:val="0"/>
        <w:rPr>
          <w:rFonts w:ascii="Garamond" w:hAnsi="Garamond" w:cs="Verdana"/>
          <w:b/>
          <w:szCs w:val="26"/>
        </w:rPr>
      </w:pPr>
      <w:r w:rsidRPr="0012661D">
        <w:rPr>
          <w:rFonts w:ascii="Garamond" w:hAnsi="Garamond" w:cs="Verdana"/>
          <w:b/>
          <w:szCs w:val="26"/>
        </w:rPr>
        <w:t>Course Description:</w:t>
      </w:r>
    </w:p>
    <w:p w:rsidR="0012661D" w:rsidRDefault="001A14A1" w:rsidP="00BF0A87">
      <w:pPr>
        <w:widowControl w:val="0"/>
        <w:autoSpaceDE w:val="0"/>
        <w:autoSpaceDN w:val="0"/>
        <w:adjustRightInd w:val="0"/>
        <w:rPr>
          <w:rFonts w:ascii="Garamond" w:hAnsi="Garamond" w:cs="Verdana"/>
          <w:szCs w:val="26"/>
        </w:rPr>
      </w:pPr>
      <w:r>
        <w:rPr>
          <w:rFonts w:ascii="Garamond" w:hAnsi="Garamond" w:cs="Verdana"/>
          <w:szCs w:val="26"/>
        </w:rPr>
        <w:t xml:space="preserve">This course will provide a basic introduction to survey design and analysis.  The readings for the course will cover topics such as statistical theory for survey sampling, measurement error, survey experiments, and others.  Students will also design their own set of survey questions to be fielded to a sample of undergraduate students. Students will then analyze these data and write a final paper describing the results. </w:t>
      </w:r>
    </w:p>
    <w:p w:rsidR="0012661D" w:rsidRPr="001636BF" w:rsidRDefault="009447D8" w:rsidP="00BF0A87">
      <w:pPr>
        <w:widowControl w:val="0"/>
        <w:autoSpaceDE w:val="0"/>
        <w:autoSpaceDN w:val="0"/>
        <w:adjustRightInd w:val="0"/>
        <w:rPr>
          <w:rFonts w:ascii="Garamond" w:hAnsi="Garamond" w:cs="Verdana"/>
          <w:szCs w:val="26"/>
        </w:rPr>
      </w:pPr>
    </w:p>
    <w:p w:rsidR="00BF0A87" w:rsidRPr="001636BF" w:rsidRDefault="001A14A1" w:rsidP="00BF0A87">
      <w:pPr>
        <w:widowControl w:val="0"/>
        <w:autoSpaceDE w:val="0"/>
        <w:autoSpaceDN w:val="0"/>
        <w:adjustRightInd w:val="0"/>
        <w:rPr>
          <w:rFonts w:ascii="Garamond" w:hAnsi="Garamond" w:cs="Verdana"/>
          <w:b/>
          <w:szCs w:val="26"/>
        </w:rPr>
      </w:pPr>
      <w:r w:rsidRPr="001636BF">
        <w:rPr>
          <w:rFonts w:ascii="Garamond" w:hAnsi="Garamond" w:cs="Verdana"/>
          <w:b/>
          <w:szCs w:val="26"/>
        </w:rPr>
        <w:t>Requirements:</w:t>
      </w:r>
    </w:p>
    <w:p w:rsidR="00BF0A87" w:rsidRPr="001636BF" w:rsidRDefault="001A14A1" w:rsidP="00BF0A87">
      <w:pPr>
        <w:widowControl w:val="0"/>
        <w:autoSpaceDE w:val="0"/>
        <w:autoSpaceDN w:val="0"/>
        <w:adjustRightInd w:val="0"/>
        <w:rPr>
          <w:rFonts w:ascii="Garamond" w:hAnsi="Garamond" w:cs="Verdana"/>
          <w:szCs w:val="26"/>
        </w:rPr>
      </w:pPr>
      <w:r w:rsidRPr="001636BF">
        <w:rPr>
          <w:rFonts w:ascii="Garamond" w:hAnsi="Garamond" w:cs="Verdana"/>
          <w:szCs w:val="26"/>
        </w:rPr>
        <w:t>Your course grade is based on the following components:</w:t>
      </w:r>
    </w:p>
    <w:p w:rsidR="00BF0A87" w:rsidRPr="001636BF" w:rsidRDefault="001A14A1" w:rsidP="0012661D">
      <w:pPr>
        <w:widowControl w:val="0"/>
        <w:autoSpaceDE w:val="0"/>
        <w:autoSpaceDN w:val="0"/>
        <w:adjustRightInd w:val="0"/>
        <w:ind w:firstLine="720"/>
        <w:rPr>
          <w:rFonts w:ascii="Garamond" w:hAnsi="Garamond" w:cs="Verdana"/>
          <w:szCs w:val="26"/>
        </w:rPr>
      </w:pPr>
      <w:r>
        <w:rPr>
          <w:rFonts w:ascii="Garamond" w:hAnsi="Garamond" w:cs="Verdana"/>
          <w:szCs w:val="26"/>
        </w:rPr>
        <w:t xml:space="preserve">Seminar Participation: </w:t>
      </w:r>
      <w:r>
        <w:rPr>
          <w:rFonts w:ascii="Garamond" w:hAnsi="Garamond" w:cs="Verdana"/>
          <w:szCs w:val="26"/>
        </w:rPr>
        <w:tab/>
      </w:r>
      <w:r>
        <w:rPr>
          <w:rFonts w:ascii="Garamond" w:hAnsi="Garamond" w:cs="Verdana"/>
          <w:szCs w:val="26"/>
        </w:rPr>
        <w:tab/>
        <w:t>25%</w:t>
      </w:r>
    </w:p>
    <w:p w:rsidR="00BF0A87" w:rsidRPr="001636BF" w:rsidRDefault="001A14A1" w:rsidP="0012661D">
      <w:pPr>
        <w:widowControl w:val="0"/>
        <w:autoSpaceDE w:val="0"/>
        <w:autoSpaceDN w:val="0"/>
        <w:adjustRightInd w:val="0"/>
        <w:ind w:firstLine="720"/>
        <w:rPr>
          <w:rFonts w:ascii="Garamond" w:hAnsi="Garamond" w:cs="Verdana"/>
          <w:szCs w:val="26"/>
        </w:rPr>
      </w:pPr>
      <w:r>
        <w:rPr>
          <w:rFonts w:ascii="Garamond" w:hAnsi="Garamond" w:cs="Verdana"/>
          <w:szCs w:val="26"/>
        </w:rPr>
        <w:t>Written Assignments:</w:t>
      </w:r>
      <w:r>
        <w:rPr>
          <w:rFonts w:ascii="Garamond" w:hAnsi="Garamond" w:cs="Verdana"/>
          <w:szCs w:val="26"/>
        </w:rPr>
        <w:tab/>
      </w:r>
      <w:r>
        <w:rPr>
          <w:rFonts w:ascii="Garamond" w:hAnsi="Garamond" w:cs="Verdana"/>
          <w:szCs w:val="26"/>
        </w:rPr>
        <w:tab/>
        <w:t>10%</w:t>
      </w:r>
    </w:p>
    <w:p w:rsidR="00BF0A87" w:rsidRPr="001636BF" w:rsidRDefault="001A14A1" w:rsidP="0012661D">
      <w:pPr>
        <w:widowControl w:val="0"/>
        <w:autoSpaceDE w:val="0"/>
        <w:autoSpaceDN w:val="0"/>
        <w:adjustRightInd w:val="0"/>
        <w:ind w:firstLine="720"/>
        <w:rPr>
          <w:rFonts w:ascii="Garamond" w:hAnsi="Garamond" w:cs="Verdana"/>
          <w:szCs w:val="26"/>
        </w:rPr>
      </w:pPr>
      <w:r>
        <w:rPr>
          <w:rFonts w:ascii="Garamond" w:hAnsi="Garamond" w:cs="Verdana"/>
          <w:szCs w:val="26"/>
        </w:rPr>
        <w:t>Class Presentation:</w:t>
      </w:r>
      <w:r>
        <w:rPr>
          <w:rFonts w:ascii="Garamond" w:hAnsi="Garamond" w:cs="Verdana"/>
          <w:szCs w:val="26"/>
        </w:rPr>
        <w:tab/>
      </w:r>
      <w:r>
        <w:rPr>
          <w:rFonts w:ascii="Garamond" w:hAnsi="Garamond" w:cs="Verdana"/>
          <w:szCs w:val="26"/>
        </w:rPr>
        <w:tab/>
        <w:t>25%</w:t>
      </w:r>
    </w:p>
    <w:p w:rsidR="00BF0A87" w:rsidRPr="001636BF" w:rsidRDefault="001A14A1" w:rsidP="0012661D">
      <w:pPr>
        <w:widowControl w:val="0"/>
        <w:autoSpaceDE w:val="0"/>
        <w:autoSpaceDN w:val="0"/>
        <w:adjustRightInd w:val="0"/>
        <w:ind w:firstLine="720"/>
        <w:rPr>
          <w:rFonts w:ascii="Garamond" w:hAnsi="Garamond" w:cs="Verdana"/>
          <w:szCs w:val="26"/>
        </w:rPr>
      </w:pPr>
      <w:r w:rsidRPr="001636BF">
        <w:rPr>
          <w:rFonts w:ascii="Garamond" w:hAnsi="Garamond" w:cs="Verdana"/>
          <w:szCs w:val="26"/>
        </w:rPr>
        <w:t xml:space="preserve">Final Paper: </w:t>
      </w:r>
      <w:r>
        <w:rPr>
          <w:rFonts w:ascii="Garamond" w:hAnsi="Garamond" w:cs="Verdana"/>
          <w:szCs w:val="26"/>
        </w:rPr>
        <w:tab/>
      </w:r>
      <w:r>
        <w:rPr>
          <w:rFonts w:ascii="Garamond" w:hAnsi="Garamond" w:cs="Verdana"/>
          <w:szCs w:val="26"/>
        </w:rPr>
        <w:tab/>
      </w:r>
      <w:r>
        <w:rPr>
          <w:rFonts w:ascii="Garamond" w:hAnsi="Garamond" w:cs="Verdana"/>
          <w:szCs w:val="26"/>
        </w:rPr>
        <w:tab/>
        <w:t>40%</w:t>
      </w:r>
    </w:p>
    <w:p w:rsidR="00BF0A87" w:rsidRPr="001636BF" w:rsidRDefault="009447D8" w:rsidP="00BF0A87">
      <w:pPr>
        <w:widowControl w:val="0"/>
        <w:autoSpaceDE w:val="0"/>
        <w:autoSpaceDN w:val="0"/>
        <w:adjustRightInd w:val="0"/>
        <w:rPr>
          <w:rFonts w:ascii="Garamond" w:hAnsi="Garamond" w:cs="Verdana"/>
          <w:szCs w:val="26"/>
        </w:rPr>
      </w:pPr>
    </w:p>
    <w:p w:rsidR="0012661D" w:rsidRDefault="001A14A1" w:rsidP="00BF0A87">
      <w:pPr>
        <w:widowControl w:val="0"/>
        <w:autoSpaceDE w:val="0"/>
        <w:autoSpaceDN w:val="0"/>
        <w:adjustRightInd w:val="0"/>
        <w:rPr>
          <w:rFonts w:ascii="Garamond" w:hAnsi="Garamond" w:cs="Verdana"/>
          <w:szCs w:val="26"/>
        </w:rPr>
      </w:pPr>
      <w:r w:rsidRPr="001636BF">
        <w:rPr>
          <w:rFonts w:ascii="Garamond" w:hAnsi="Garamond" w:cs="Verdana"/>
          <w:b/>
          <w:szCs w:val="26"/>
        </w:rPr>
        <w:t>Seminar Participation:</w:t>
      </w:r>
      <w:r>
        <w:rPr>
          <w:rFonts w:ascii="Garamond" w:hAnsi="Garamond" w:cs="Verdana"/>
          <w:szCs w:val="26"/>
        </w:rPr>
        <w:t xml:space="preserve"> </w:t>
      </w:r>
    </w:p>
    <w:p w:rsidR="00BF0A87" w:rsidRPr="001636BF" w:rsidRDefault="001A14A1" w:rsidP="00BF0A87">
      <w:pPr>
        <w:widowControl w:val="0"/>
        <w:autoSpaceDE w:val="0"/>
        <w:autoSpaceDN w:val="0"/>
        <w:adjustRightInd w:val="0"/>
        <w:rPr>
          <w:rFonts w:ascii="Garamond" w:hAnsi="Garamond" w:cs="Verdana"/>
          <w:szCs w:val="26"/>
        </w:rPr>
      </w:pPr>
      <w:r>
        <w:rPr>
          <w:rFonts w:ascii="Garamond" w:hAnsi="Garamond" w:cs="Verdana"/>
          <w:szCs w:val="26"/>
        </w:rPr>
        <w:t>We</w:t>
      </w:r>
      <w:r w:rsidRPr="001636BF">
        <w:rPr>
          <w:rFonts w:ascii="Garamond" w:hAnsi="Garamond" w:cs="Verdana"/>
          <w:szCs w:val="26"/>
        </w:rPr>
        <w:t xml:space="preserve"> expect that you show up to class ready to participate.   While you’re reading you should take notes: highlight ideas that you find interesting or questionable and be ready to discuss them in class.</w:t>
      </w:r>
    </w:p>
    <w:p w:rsidR="0012661D" w:rsidRPr="001636BF" w:rsidRDefault="009447D8" w:rsidP="00BF0A87">
      <w:pPr>
        <w:widowControl w:val="0"/>
        <w:autoSpaceDE w:val="0"/>
        <w:autoSpaceDN w:val="0"/>
        <w:adjustRightInd w:val="0"/>
        <w:rPr>
          <w:rFonts w:ascii="Garamond" w:hAnsi="Garamond" w:cs="Verdana"/>
          <w:szCs w:val="26"/>
        </w:rPr>
      </w:pPr>
    </w:p>
    <w:p w:rsidR="0012661D" w:rsidRDefault="001A14A1" w:rsidP="00BF0A87">
      <w:pPr>
        <w:widowControl w:val="0"/>
        <w:autoSpaceDE w:val="0"/>
        <w:autoSpaceDN w:val="0"/>
        <w:adjustRightInd w:val="0"/>
        <w:rPr>
          <w:rFonts w:ascii="Garamond" w:hAnsi="Garamond" w:cs="Verdana"/>
          <w:szCs w:val="26"/>
        </w:rPr>
      </w:pPr>
      <w:r w:rsidRPr="001636BF">
        <w:rPr>
          <w:rFonts w:ascii="Garamond" w:hAnsi="Garamond" w:cs="Verdana"/>
          <w:b/>
          <w:szCs w:val="26"/>
        </w:rPr>
        <w:t>Written assignments:</w:t>
      </w:r>
      <w:r w:rsidRPr="001636BF">
        <w:rPr>
          <w:rFonts w:ascii="Garamond" w:hAnsi="Garamond" w:cs="Verdana"/>
          <w:szCs w:val="26"/>
        </w:rPr>
        <w:t xml:space="preserve"> </w:t>
      </w:r>
    </w:p>
    <w:p w:rsidR="00BF0A87" w:rsidRPr="001636BF" w:rsidRDefault="001A14A1" w:rsidP="00BF0A87">
      <w:pPr>
        <w:widowControl w:val="0"/>
        <w:autoSpaceDE w:val="0"/>
        <w:autoSpaceDN w:val="0"/>
        <w:adjustRightInd w:val="0"/>
        <w:rPr>
          <w:rFonts w:ascii="Garamond" w:hAnsi="Garamond" w:cs="Verdana"/>
          <w:szCs w:val="26"/>
        </w:rPr>
      </w:pPr>
      <w:r>
        <w:rPr>
          <w:rFonts w:ascii="Garamond" w:hAnsi="Garamond" w:cs="Verdana"/>
          <w:szCs w:val="26"/>
        </w:rPr>
        <w:lastRenderedPageBreak/>
        <w:t>From time to time, we will announce smaller written assignments, typically to be completed and turned in at the start of class the following week. These assignments will vary, but will typically involve short write-ups of roughly 1-3 pages.</w:t>
      </w:r>
    </w:p>
    <w:p w:rsidR="000879EE" w:rsidRPr="00E94786" w:rsidRDefault="009447D8" w:rsidP="000879EE">
      <w:pPr>
        <w:jc w:val="both"/>
        <w:rPr>
          <w:rFonts w:ascii="Helvetica" w:hAnsi="Helvetica" w:cs="Arial"/>
          <w:b/>
        </w:rPr>
      </w:pPr>
    </w:p>
    <w:p w:rsidR="00D73C84" w:rsidRDefault="009447D8" w:rsidP="0012661D">
      <w:pPr>
        <w:rPr>
          <w:rFonts w:ascii="Helvetica" w:hAnsi="Helvetica" w:cs="Arial"/>
        </w:rPr>
      </w:pPr>
    </w:p>
    <w:p w:rsidR="000879EE" w:rsidRDefault="001A14A1" w:rsidP="000879EE">
      <w:pPr>
        <w:jc w:val="center"/>
        <w:rPr>
          <w:rFonts w:ascii="Helvetica" w:hAnsi="Helvetica" w:cs="Arial"/>
          <w:b/>
        </w:rPr>
      </w:pPr>
      <w:r>
        <w:rPr>
          <w:rFonts w:ascii="Helvetica" w:hAnsi="Helvetica" w:cs="Arial"/>
          <w:b/>
        </w:rPr>
        <w:t>Academic Honesty and Integrity</w:t>
      </w:r>
    </w:p>
    <w:p w:rsidR="000879EE" w:rsidRDefault="009447D8" w:rsidP="000879EE">
      <w:pPr>
        <w:jc w:val="both"/>
        <w:rPr>
          <w:rFonts w:ascii="Helvetica" w:hAnsi="Helvetica" w:cs="Arial"/>
          <w:b/>
        </w:rPr>
      </w:pPr>
    </w:p>
    <w:p w:rsidR="000879EE" w:rsidRPr="00E94786" w:rsidRDefault="001A14A1" w:rsidP="000879EE">
      <w:pPr>
        <w:jc w:val="both"/>
        <w:rPr>
          <w:rFonts w:ascii="Helvetica" w:hAnsi="Helvetica" w:cs="Arial"/>
          <w:b/>
        </w:rPr>
      </w:pPr>
      <w:r w:rsidRPr="00E94786">
        <w:rPr>
          <w:rFonts w:ascii="Helvetica" w:hAnsi="Helvetica" w:cs="Arial"/>
          <w:b/>
        </w:rPr>
        <w:t>Issues of academic dishonesty will be taken very seriously and any finding of cheating or other unethical behavior will be pursued to the full extent possible under university policy.</w:t>
      </w:r>
      <w:r>
        <w:rPr>
          <w:rFonts w:ascii="Helvetica" w:hAnsi="Helvetica" w:cs="Arial"/>
          <w:b/>
        </w:rPr>
        <w:t xml:space="preserve">  Students should consult the University of Texas Honor Code.</w:t>
      </w:r>
    </w:p>
    <w:p w:rsidR="00985508" w:rsidRDefault="009447D8" w:rsidP="00CB6B82">
      <w:pPr>
        <w:rPr>
          <w:rFonts w:ascii="Helvetica" w:hAnsi="Helvetica" w:cs="Arial"/>
          <w:b/>
        </w:rPr>
      </w:pPr>
    </w:p>
    <w:p w:rsidR="00985508" w:rsidRDefault="009447D8" w:rsidP="000879EE">
      <w:pPr>
        <w:jc w:val="center"/>
        <w:rPr>
          <w:rFonts w:ascii="Helvetica" w:hAnsi="Helvetica" w:cs="Arial"/>
          <w:b/>
        </w:rPr>
      </w:pPr>
    </w:p>
    <w:p w:rsidR="000879EE" w:rsidRDefault="001A14A1" w:rsidP="000879EE">
      <w:pPr>
        <w:jc w:val="center"/>
        <w:rPr>
          <w:rFonts w:ascii="Helvetica" w:hAnsi="Helvetica" w:cs="Arial"/>
          <w:b/>
        </w:rPr>
      </w:pPr>
      <w:r w:rsidRPr="00E94786">
        <w:rPr>
          <w:rFonts w:ascii="Helvetica" w:hAnsi="Helvetica" w:cs="Arial"/>
          <w:b/>
        </w:rPr>
        <w:t>Special Needs</w:t>
      </w:r>
    </w:p>
    <w:p w:rsidR="000879EE" w:rsidRPr="00E94786" w:rsidRDefault="009447D8" w:rsidP="000879EE">
      <w:pPr>
        <w:jc w:val="center"/>
        <w:rPr>
          <w:rFonts w:ascii="Helvetica" w:hAnsi="Helvetica" w:cs="Arial"/>
          <w:b/>
        </w:rPr>
      </w:pPr>
    </w:p>
    <w:p w:rsidR="00EA40E2" w:rsidRDefault="001A14A1" w:rsidP="000879EE">
      <w:pPr>
        <w:autoSpaceDE w:val="0"/>
        <w:autoSpaceDN w:val="0"/>
        <w:adjustRightInd w:val="0"/>
        <w:jc w:val="both"/>
        <w:rPr>
          <w:rFonts w:ascii="Helvetica" w:hAnsi="Helvetica" w:cs="Arial"/>
        </w:rPr>
      </w:pPr>
      <w:r w:rsidRPr="00EA40E2">
        <w:rPr>
          <w:rFonts w:ascii="Helvetica" w:hAnsi="Helvetica" w:cs="Arial"/>
        </w:rPr>
        <w:t xml:space="preserve">Students with disabilities may request appropriate academic accommodations from the Division of Diversity and Community Engagement, Services for Students with Disabilities, 471-6259, </w:t>
      </w:r>
      <w:hyperlink r:id="rId8" w:history="1">
        <w:r w:rsidRPr="00EA40E2">
          <w:rPr>
            <w:rStyle w:val="Hyperlink"/>
            <w:rFonts w:ascii="Helvetica" w:hAnsi="Helvetica" w:cs="Arial"/>
          </w:rPr>
          <w:t>http://www.utexas.edu/diversity/ddce/ssd/</w:t>
        </w:r>
      </w:hyperlink>
      <w:r>
        <w:rPr>
          <w:rFonts w:ascii="Helvetica" w:hAnsi="Helvetica" w:cs="Arial"/>
        </w:rPr>
        <w:t xml:space="preserve"> </w:t>
      </w:r>
    </w:p>
    <w:p w:rsidR="00EA40E2" w:rsidRDefault="009447D8" w:rsidP="000879EE">
      <w:pPr>
        <w:autoSpaceDE w:val="0"/>
        <w:autoSpaceDN w:val="0"/>
        <w:adjustRightInd w:val="0"/>
        <w:jc w:val="both"/>
        <w:rPr>
          <w:rFonts w:ascii="Helvetica" w:hAnsi="Helvetica" w:cs="Arial"/>
        </w:rPr>
      </w:pPr>
    </w:p>
    <w:p w:rsidR="00D73C84" w:rsidRDefault="009447D8" w:rsidP="00EA40E2">
      <w:pPr>
        <w:rPr>
          <w:rFonts w:ascii="Helvetica" w:hAnsi="Helvetica" w:cs="Arial"/>
          <w:b/>
        </w:rPr>
      </w:pPr>
    </w:p>
    <w:p w:rsidR="000879EE" w:rsidRDefault="001A14A1" w:rsidP="000879EE">
      <w:pPr>
        <w:jc w:val="center"/>
        <w:rPr>
          <w:rFonts w:ascii="Helvetica" w:hAnsi="Helvetica" w:cs="Arial"/>
          <w:b/>
        </w:rPr>
      </w:pPr>
      <w:r w:rsidRPr="00E94786">
        <w:rPr>
          <w:rFonts w:ascii="Helvetica" w:hAnsi="Helvetica" w:cs="Arial"/>
          <w:b/>
        </w:rPr>
        <w:t>Class Schedule</w:t>
      </w:r>
    </w:p>
    <w:p w:rsidR="000879EE" w:rsidRPr="00E94786" w:rsidRDefault="009447D8" w:rsidP="000879EE">
      <w:pPr>
        <w:jc w:val="center"/>
        <w:rPr>
          <w:rFonts w:ascii="Helvetica" w:hAnsi="Helvetica" w:cs="Arial"/>
          <w:b/>
        </w:rPr>
      </w:pPr>
    </w:p>
    <w:p w:rsidR="00383BCE" w:rsidRDefault="001A14A1" w:rsidP="00383BCE">
      <w:pPr>
        <w:pStyle w:val="ListParagraph"/>
        <w:numPr>
          <w:ilvl w:val="0"/>
          <w:numId w:val="2"/>
        </w:numPr>
      </w:pPr>
      <w:r>
        <w:t xml:space="preserve">Intro </w:t>
      </w:r>
      <w:r>
        <w:br/>
        <w:t>General issues in measurement and conceptualization, background of survey research, strengths and weaknesses, ethics</w:t>
      </w:r>
    </w:p>
    <w:p w:rsidR="00383BCE" w:rsidRDefault="001A14A1" w:rsidP="00383BCE">
      <w:pPr>
        <w:pStyle w:val="ListParagraph"/>
        <w:numPr>
          <w:ilvl w:val="1"/>
          <w:numId w:val="2"/>
        </w:numPr>
      </w:pPr>
      <w:r>
        <w:t>Roger Simon – “Are Polls Really Magic” Politico. (and reactions)</w:t>
      </w:r>
    </w:p>
    <w:p w:rsidR="00383BCE" w:rsidRDefault="001A14A1" w:rsidP="00383BCE">
      <w:pPr>
        <w:pStyle w:val="ListParagraph"/>
        <w:numPr>
          <w:ilvl w:val="1"/>
          <w:numId w:val="2"/>
        </w:numPr>
      </w:pPr>
      <w:proofErr w:type="spellStart"/>
      <w:r>
        <w:t>Hillygus</w:t>
      </w:r>
      <w:proofErr w:type="spellEnd"/>
      <w:r>
        <w:t xml:space="preserve">, D. Sunshine.  “The Practice of Survey Research.”  New Directions in Public Opinion. </w:t>
      </w:r>
      <w:proofErr w:type="spellStart"/>
      <w:r>
        <w:t>Berinsky</w:t>
      </w:r>
      <w:proofErr w:type="spellEnd"/>
      <w:r>
        <w:t xml:space="preserve">, Adam J., </w:t>
      </w:r>
      <w:proofErr w:type="gramStart"/>
      <w:r>
        <w:t>ed</w:t>
      </w:r>
      <w:proofErr w:type="gramEnd"/>
      <w:r>
        <w:t xml:space="preserve">.  New York: </w:t>
      </w:r>
      <w:proofErr w:type="spellStart"/>
      <w:r>
        <w:t>Routledge</w:t>
      </w:r>
      <w:proofErr w:type="spellEnd"/>
      <w:r>
        <w:t>.  Chapter 2.</w:t>
      </w:r>
    </w:p>
    <w:p w:rsidR="00583FA6" w:rsidRDefault="001A14A1" w:rsidP="0012661D">
      <w:pPr>
        <w:ind w:left="1080"/>
      </w:pPr>
      <w:r>
        <w:t>***Assignment for class 2: find a poll and evaluate it</w:t>
      </w:r>
    </w:p>
    <w:p w:rsidR="00583FA6" w:rsidRDefault="009447D8" w:rsidP="00583FA6">
      <w:pPr>
        <w:pStyle w:val="ListParagraph"/>
        <w:ind w:left="1440"/>
      </w:pPr>
    </w:p>
    <w:p w:rsidR="00583FA6" w:rsidRDefault="001A14A1" w:rsidP="00583FA6">
      <w:pPr>
        <w:pStyle w:val="ListParagraph"/>
        <w:numPr>
          <w:ilvl w:val="0"/>
          <w:numId w:val="2"/>
        </w:numPr>
      </w:pPr>
      <w:r>
        <w:t>What’s an attitude and how do we measure it?</w:t>
      </w:r>
    </w:p>
    <w:p w:rsidR="00583FA6" w:rsidRDefault="001A14A1" w:rsidP="00583FA6">
      <w:pPr>
        <w:pStyle w:val="ListParagraph"/>
        <w:numPr>
          <w:ilvl w:val="1"/>
          <w:numId w:val="2"/>
        </w:numPr>
      </w:pPr>
      <w:proofErr w:type="spellStart"/>
      <w:r>
        <w:t>Zaller</w:t>
      </w:r>
      <w:proofErr w:type="spellEnd"/>
      <w:r>
        <w:t>, Chapters 1-5</w:t>
      </w:r>
    </w:p>
    <w:p w:rsidR="00383BCE" w:rsidRDefault="001A14A1" w:rsidP="00583FA6">
      <w:pPr>
        <w:pStyle w:val="ListParagraph"/>
        <w:numPr>
          <w:ilvl w:val="1"/>
          <w:numId w:val="2"/>
        </w:numPr>
      </w:pPr>
      <w:proofErr w:type="spellStart"/>
      <w:r>
        <w:t>Tourangeau</w:t>
      </w:r>
      <w:proofErr w:type="spellEnd"/>
      <w:r>
        <w:t xml:space="preserve">, Rips and </w:t>
      </w:r>
      <w:proofErr w:type="spellStart"/>
      <w:r>
        <w:t>Rasinski</w:t>
      </w:r>
      <w:proofErr w:type="spellEnd"/>
      <w:r>
        <w:t xml:space="preserve">.  The Psychology of Survey Response. Chapters 6, 7. </w:t>
      </w:r>
    </w:p>
    <w:p w:rsidR="00383BCE" w:rsidRDefault="009447D8" w:rsidP="00383BCE">
      <w:pPr>
        <w:pStyle w:val="ListParagraph"/>
        <w:ind w:left="1440"/>
      </w:pPr>
    </w:p>
    <w:p w:rsidR="00383BCE" w:rsidRDefault="001A14A1" w:rsidP="00383BCE">
      <w:pPr>
        <w:pStyle w:val="ListParagraph"/>
        <w:numPr>
          <w:ilvl w:val="0"/>
          <w:numId w:val="2"/>
        </w:numPr>
      </w:pPr>
      <w:r>
        <w:t>Survey Design I.</w:t>
      </w:r>
      <w:r>
        <w:br/>
        <w:t xml:space="preserve">Question wording, question order effects, social desirability </w:t>
      </w:r>
    </w:p>
    <w:p w:rsidR="00D97F52" w:rsidRDefault="001A14A1" w:rsidP="00383BCE">
      <w:pPr>
        <w:pStyle w:val="ListParagraph"/>
        <w:numPr>
          <w:ilvl w:val="1"/>
          <w:numId w:val="2"/>
        </w:numPr>
      </w:pPr>
      <w:r w:rsidRPr="005A71C5">
        <w:t xml:space="preserve"> “That Which we Call Welfare by any other Name Would Smell Sweeter: An Analysis of the Impact of Question Wording on Response Patterns,” </w:t>
      </w:r>
      <w:r w:rsidRPr="005A71C5">
        <w:rPr>
          <w:i/>
          <w:iCs/>
        </w:rPr>
        <w:t xml:space="preserve">Public Opinion Quarterly </w:t>
      </w:r>
      <w:r w:rsidRPr="005A71C5">
        <w:t>51 (1987)</w:t>
      </w:r>
    </w:p>
    <w:p w:rsidR="00CE36E6" w:rsidRDefault="001A14A1" w:rsidP="00383BCE">
      <w:pPr>
        <w:pStyle w:val="ListParagraph"/>
        <w:numPr>
          <w:ilvl w:val="1"/>
          <w:numId w:val="2"/>
        </w:numPr>
      </w:pPr>
      <w:proofErr w:type="spellStart"/>
      <w:r>
        <w:t>Krosnick</w:t>
      </w:r>
      <w:proofErr w:type="spellEnd"/>
      <w:r>
        <w:t xml:space="preserve">, Jon A. and Duane F. </w:t>
      </w:r>
      <w:proofErr w:type="spellStart"/>
      <w:r>
        <w:t>Alwin</w:t>
      </w:r>
      <w:proofErr w:type="spellEnd"/>
      <w:r>
        <w:t>.  1987.  An Evaluation of a Cognitive Theory of Response-Order Effects in Survey Measurement.  Public Opinion Quarterly, 51(2), 201-219.</w:t>
      </w:r>
    </w:p>
    <w:p w:rsidR="00302226" w:rsidRDefault="001A14A1" w:rsidP="00302226">
      <w:pPr>
        <w:pStyle w:val="ListParagraph"/>
        <w:numPr>
          <w:ilvl w:val="1"/>
          <w:numId w:val="2"/>
        </w:numPr>
      </w:pPr>
      <w:r>
        <w:t xml:space="preserve">S.M. </w:t>
      </w:r>
      <w:proofErr w:type="spellStart"/>
      <w:r>
        <w:t>Zdep</w:t>
      </w:r>
      <w:proofErr w:type="spellEnd"/>
      <w:r>
        <w:t xml:space="preserve">, Isabelle Rhodes, R.M. Schwarz, and Mary </w:t>
      </w:r>
      <w:proofErr w:type="spellStart"/>
      <w:r>
        <w:t>Kilkenny</w:t>
      </w:r>
      <w:proofErr w:type="spellEnd"/>
      <w:r>
        <w:t>.  1979. The Validity of the Randomized Response Technique.  Public Opinion Quarterly, 43 (4), 544-549.</w:t>
      </w:r>
    </w:p>
    <w:p w:rsidR="003146D1" w:rsidRDefault="001A14A1" w:rsidP="00302226">
      <w:pPr>
        <w:pStyle w:val="ListParagraph"/>
        <w:numPr>
          <w:ilvl w:val="1"/>
          <w:numId w:val="2"/>
        </w:numPr>
      </w:pPr>
      <w:r>
        <w:lastRenderedPageBreak/>
        <w:t xml:space="preserve">Bernstein, Robert, Anita </w:t>
      </w:r>
      <w:proofErr w:type="spellStart"/>
      <w:r>
        <w:t>Chadha</w:t>
      </w:r>
      <w:proofErr w:type="spellEnd"/>
      <w:r>
        <w:t xml:space="preserve"> and Robert </w:t>
      </w:r>
      <w:proofErr w:type="spellStart"/>
      <w:r>
        <w:t>Montjoy</w:t>
      </w:r>
      <w:proofErr w:type="spellEnd"/>
      <w:r>
        <w:t xml:space="preserve">.  2001.  </w:t>
      </w:r>
      <w:proofErr w:type="spellStart"/>
      <w:r>
        <w:t>Overreporting</w:t>
      </w:r>
      <w:proofErr w:type="spellEnd"/>
      <w:r>
        <w:t xml:space="preserve"> Voting: Why it </w:t>
      </w:r>
      <w:proofErr w:type="gramStart"/>
      <w:r>
        <w:t>Happens</w:t>
      </w:r>
      <w:proofErr w:type="gramEnd"/>
      <w:r>
        <w:t xml:space="preserve"> and Why it Matters.  Public Opinion Quarterly, 65: 22-44.</w:t>
      </w:r>
    </w:p>
    <w:p w:rsidR="00302226" w:rsidRDefault="001A14A1" w:rsidP="00302226">
      <w:pPr>
        <w:pStyle w:val="ListParagraph"/>
        <w:numPr>
          <w:ilvl w:val="1"/>
          <w:numId w:val="2"/>
        </w:numPr>
      </w:pPr>
      <w:r>
        <w:t xml:space="preserve">Petty, Richard E. Greg A. </w:t>
      </w:r>
      <w:proofErr w:type="spellStart"/>
      <w:r>
        <w:t>Rennier</w:t>
      </w:r>
      <w:proofErr w:type="spellEnd"/>
      <w:r>
        <w:t xml:space="preserve">, and John T. </w:t>
      </w:r>
      <w:proofErr w:type="spellStart"/>
      <w:r>
        <w:t>Cacioppo</w:t>
      </w:r>
      <w:proofErr w:type="spellEnd"/>
      <w:r>
        <w:t>. 1987. Assertion Versus Interrogation Format in Opinion Surveys: Questions Enhance Thoughtful Responding. Public Opinion Quarterly, 51(4), 481-494.</w:t>
      </w:r>
    </w:p>
    <w:p w:rsidR="00383BCE" w:rsidRDefault="009447D8" w:rsidP="00CB6B82"/>
    <w:p w:rsidR="00383BCE" w:rsidRDefault="001A14A1" w:rsidP="00383BCE">
      <w:pPr>
        <w:pStyle w:val="ListParagraph"/>
        <w:numPr>
          <w:ilvl w:val="0"/>
          <w:numId w:val="2"/>
        </w:numPr>
      </w:pPr>
      <w:r>
        <w:t>Survey Design II.</w:t>
      </w:r>
      <w:r>
        <w:br/>
        <w:t>Response options, ordering, anchoring vignettes</w:t>
      </w:r>
    </w:p>
    <w:p w:rsidR="00383BCE" w:rsidRPr="005A71C5" w:rsidRDefault="001A14A1" w:rsidP="00383BCE">
      <w:pPr>
        <w:pStyle w:val="ListParagraph"/>
        <w:numPr>
          <w:ilvl w:val="1"/>
          <w:numId w:val="2"/>
        </w:numPr>
      </w:pPr>
      <w:r>
        <w:rPr>
          <w:bCs/>
        </w:rPr>
        <w:t>King, Gary et al. “</w:t>
      </w:r>
      <w:r w:rsidRPr="0010797B">
        <w:rPr>
          <w:bCs/>
        </w:rPr>
        <w:t xml:space="preserve">Enhancing the Validity and </w:t>
      </w:r>
      <w:proofErr w:type="spellStart"/>
      <w:r w:rsidRPr="0010797B">
        <w:rPr>
          <w:bCs/>
        </w:rPr>
        <w:t>Cross­Cultural</w:t>
      </w:r>
      <w:proofErr w:type="spellEnd"/>
      <w:r w:rsidRPr="0010797B">
        <w:rPr>
          <w:bCs/>
        </w:rPr>
        <w:t xml:space="preserve"> Comparability of Measurement in Survey Research</w:t>
      </w:r>
      <w:r>
        <w:rPr>
          <w:bCs/>
        </w:rPr>
        <w:t xml:space="preserve">.” </w:t>
      </w:r>
      <w:r w:rsidRPr="0010797B">
        <w:rPr>
          <w:bCs/>
          <w:i/>
        </w:rPr>
        <w:t>American Political Science Review</w:t>
      </w:r>
      <w:r>
        <w:rPr>
          <w:bCs/>
        </w:rPr>
        <w:t xml:space="preserve"> 98(1):191-207.</w:t>
      </w:r>
    </w:p>
    <w:p w:rsidR="00583FA6" w:rsidRDefault="001A14A1" w:rsidP="00383BCE">
      <w:pPr>
        <w:pStyle w:val="ListParagraph"/>
        <w:numPr>
          <w:ilvl w:val="1"/>
          <w:numId w:val="2"/>
        </w:numPr>
      </w:pPr>
      <w:r w:rsidRPr="005A71C5">
        <w:t xml:space="preserve">Darren Davis, “Nonrandom Measurement Error and Race of Interviewer Effects among African-Americans,” </w:t>
      </w:r>
      <w:r w:rsidRPr="005A71C5">
        <w:rPr>
          <w:i/>
          <w:iCs/>
        </w:rPr>
        <w:t xml:space="preserve">Public Opinion Quarterly </w:t>
      </w:r>
      <w:r>
        <w:t>61 (1997).</w:t>
      </w:r>
    </w:p>
    <w:p w:rsidR="003A3481" w:rsidRDefault="001A14A1" w:rsidP="00383BCE">
      <w:pPr>
        <w:pStyle w:val="ListParagraph"/>
        <w:numPr>
          <w:ilvl w:val="1"/>
          <w:numId w:val="2"/>
        </w:numPr>
      </w:pPr>
      <w:r>
        <w:t>Geer, John G. 1991. Do Open-Ended Questions Measure “Salient” Issues.  Public Opinion Quarterly. 55(3), 360-370.</w:t>
      </w:r>
    </w:p>
    <w:p w:rsidR="00302226" w:rsidRDefault="001A14A1" w:rsidP="00383BCE">
      <w:pPr>
        <w:pStyle w:val="ListParagraph"/>
        <w:numPr>
          <w:ilvl w:val="1"/>
          <w:numId w:val="2"/>
        </w:numPr>
      </w:pPr>
      <w:r>
        <w:t>Bishop, George F. 1987. Experiments with the Middle Response Alternative in Survey Questions.  Public Opinion Quarterly, 51(2), 220-232.</w:t>
      </w:r>
    </w:p>
    <w:p w:rsidR="00302226" w:rsidRDefault="001A14A1" w:rsidP="00302226">
      <w:pPr>
        <w:pStyle w:val="ListParagraph"/>
        <w:numPr>
          <w:ilvl w:val="1"/>
          <w:numId w:val="2"/>
        </w:numPr>
      </w:pPr>
      <w:proofErr w:type="spellStart"/>
      <w:r>
        <w:t>Krosnick</w:t>
      </w:r>
      <w:proofErr w:type="spellEnd"/>
      <w:r>
        <w:t xml:space="preserve"> </w:t>
      </w:r>
      <w:proofErr w:type="gramStart"/>
      <w:r>
        <w:t>et</w:t>
      </w:r>
      <w:proofErr w:type="gramEnd"/>
      <w:r>
        <w:t>. al. 2002. The Impact of “No Opinion” Response Options on Data Quality: Non-Attitude Reduction or an Invitation to Satisfice? Public Opinion Quarterly, 66(3) 371-403.</w:t>
      </w:r>
    </w:p>
    <w:p w:rsidR="00383BCE" w:rsidRDefault="009447D8" w:rsidP="00675112"/>
    <w:p w:rsidR="00383BCE" w:rsidRDefault="001A14A1" w:rsidP="00383BCE">
      <w:pPr>
        <w:pStyle w:val="ListParagraph"/>
        <w:numPr>
          <w:ilvl w:val="0"/>
          <w:numId w:val="2"/>
        </w:numPr>
      </w:pPr>
      <w:r>
        <w:t>Survey Experiments</w:t>
      </w:r>
    </w:p>
    <w:p w:rsidR="00675112" w:rsidRDefault="001A14A1" w:rsidP="00383BCE">
      <w:pPr>
        <w:pStyle w:val="ListParagraph"/>
        <w:numPr>
          <w:ilvl w:val="1"/>
          <w:numId w:val="2"/>
        </w:numPr>
      </w:pPr>
      <w:proofErr w:type="spellStart"/>
      <w:r w:rsidRPr="002E26C1">
        <w:t>Gilens</w:t>
      </w:r>
      <w:proofErr w:type="spellEnd"/>
      <w:r w:rsidRPr="002E26C1">
        <w:t xml:space="preserve">, Martin. “Random Assignments: An Anatomy of Survey-Based Experiments.” </w:t>
      </w:r>
      <w:r>
        <w:t xml:space="preserve"> </w:t>
      </w:r>
      <w:r w:rsidRPr="00323D56">
        <w:rPr>
          <w:i/>
          <w:iCs/>
        </w:rPr>
        <w:t>Navigating Public Opinion: Polls, Policy, and the Future of American</w:t>
      </w:r>
      <w:r>
        <w:rPr>
          <w:i/>
          <w:iCs/>
        </w:rPr>
        <w:t xml:space="preserve"> </w:t>
      </w:r>
      <w:r w:rsidRPr="00323D56">
        <w:rPr>
          <w:i/>
          <w:iCs/>
        </w:rPr>
        <w:t>Democracy,</w:t>
      </w:r>
      <w:r w:rsidRPr="002E26C1">
        <w:t xml:space="preserve"> Jeff </w:t>
      </w:r>
      <w:proofErr w:type="spellStart"/>
      <w:r w:rsidRPr="002E26C1">
        <w:t>Manza</w:t>
      </w:r>
      <w:proofErr w:type="spellEnd"/>
      <w:r w:rsidRPr="002E26C1">
        <w:t xml:space="preserve">, Fay Lomax Cook, and Benjamin Page, </w:t>
      </w:r>
      <w:proofErr w:type="gramStart"/>
      <w:r w:rsidRPr="002E26C1">
        <w:t>eds</w:t>
      </w:r>
      <w:proofErr w:type="gramEnd"/>
      <w:r w:rsidRPr="002E26C1">
        <w:t xml:space="preserve">. </w:t>
      </w:r>
    </w:p>
    <w:p w:rsidR="00383BCE" w:rsidRDefault="001A14A1" w:rsidP="00383BCE">
      <w:pPr>
        <w:pStyle w:val="ListParagraph"/>
        <w:numPr>
          <w:ilvl w:val="1"/>
          <w:numId w:val="2"/>
        </w:numPr>
      </w:pPr>
      <w:proofErr w:type="spellStart"/>
      <w:r>
        <w:t>Sniderman</w:t>
      </w:r>
      <w:proofErr w:type="spellEnd"/>
      <w:r>
        <w:t xml:space="preserve">, Paul M. and Douglas B. </w:t>
      </w:r>
      <w:proofErr w:type="spellStart"/>
      <w:r>
        <w:t>Grob</w:t>
      </w:r>
      <w:proofErr w:type="spellEnd"/>
      <w:r>
        <w:t>. 1996. Innovations in Experimental Design in Attitude Surveys.  Annual Review of Sociology. 22, 377-399.</w:t>
      </w:r>
    </w:p>
    <w:p w:rsidR="0030618F" w:rsidRDefault="001A14A1" w:rsidP="00383BCE">
      <w:pPr>
        <w:pStyle w:val="ListParagraph"/>
        <w:numPr>
          <w:ilvl w:val="1"/>
          <w:numId w:val="2"/>
        </w:numPr>
      </w:pPr>
      <w:r>
        <w:t xml:space="preserve">Gaines, Brian J., James H. </w:t>
      </w:r>
      <w:proofErr w:type="spellStart"/>
      <w:r>
        <w:t>Kuklinski</w:t>
      </w:r>
      <w:proofErr w:type="spellEnd"/>
      <w:r>
        <w:t>, and Paul J. Quirk. 2007. The Logic of the Survey Experiment Reexamined. Political Analysis, 15(1): 1-20.</w:t>
      </w:r>
    </w:p>
    <w:p w:rsidR="00675112" w:rsidRDefault="001A14A1" w:rsidP="00383BCE">
      <w:pPr>
        <w:pStyle w:val="ListParagraph"/>
        <w:numPr>
          <w:ilvl w:val="1"/>
          <w:numId w:val="2"/>
        </w:numPr>
      </w:pPr>
      <w:proofErr w:type="spellStart"/>
      <w:r>
        <w:t>Barbaras</w:t>
      </w:r>
      <w:proofErr w:type="spellEnd"/>
      <w:r>
        <w:t xml:space="preserve">, J and J </w:t>
      </w:r>
      <w:proofErr w:type="spellStart"/>
      <w:r>
        <w:t>Jerit</w:t>
      </w:r>
      <w:proofErr w:type="spellEnd"/>
      <w:r>
        <w:t xml:space="preserve">.  2010.  Are Survey Experiments Externally Valid?  American Political Science Review, </w:t>
      </w:r>
    </w:p>
    <w:p w:rsidR="00383BCE" w:rsidRDefault="009447D8" w:rsidP="003146D1"/>
    <w:p w:rsidR="00383BCE" w:rsidRDefault="001A14A1" w:rsidP="00383BCE">
      <w:pPr>
        <w:pStyle w:val="ListParagraph"/>
        <w:numPr>
          <w:ilvl w:val="0"/>
          <w:numId w:val="2"/>
        </w:numPr>
      </w:pPr>
      <w:r>
        <w:t>Survey Design III.</w:t>
      </w:r>
    </w:p>
    <w:p w:rsidR="00383BCE" w:rsidRDefault="001A14A1" w:rsidP="00383BCE">
      <w:pPr>
        <w:pStyle w:val="ListParagraph"/>
        <w:numPr>
          <w:ilvl w:val="1"/>
          <w:numId w:val="2"/>
        </w:numPr>
      </w:pPr>
      <w:proofErr w:type="spellStart"/>
      <w:r>
        <w:t>Mondak</w:t>
      </w:r>
      <w:proofErr w:type="spellEnd"/>
      <w:r>
        <w:t xml:space="preserve">, Jeffery. 1999 “Reconsidering the Measurement of Political Knowledge” </w:t>
      </w:r>
      <w:r>
        <w:rPr>
          <w:i/>
        </w:rPr>
        <w:t>Political Analysis.</w:t>
      </w:r>
      <w:r>
        <w:t xml:space="preserve"> 8(1):57-82.</w:t>
      </w:r>
    </w:p>
    <w:p w:rsidR="00B149AA" w:rsidRDefault="001A14A1" w:rsidP="00383BCE">
      <w:pPr>
        <w:pStyle w:val="ListParagraph"/>
        <w:numPr>
          <w:ilvl w:val="1"/>
          <w:numId w:val="2"/>
        </w:numPr>
      </w:pPr>
      <w:proofErr w:type="spellStart"/>
      <w:r>
        <w:t>Luskin</w:t>
      </w:r>
      <w:proofErr w:type="spellEnd"/>
      <w:r>
        <w:t>, Robert C. and John G. Bullock. 2011. “Don’t Know” means “Don’t Know”: DK Responses and the Public’s Level of Political Knowledge.  Journal of Politics 73(2):547-557.</w:t>
      </w:r>
    </w:p>
    <w:p w:rsidR="00010BC6" w:rsidRPr="00010BC6" w:rsidRDefault="001A14A1" w:rsidP="00383BCE">
      <w:pPr>
        <w:pStyle w:val="ListParagraph"/>
        <w:numPr>
          <w:ilvl w:val="1"/>
          <w:numId w:val="2"/>
        </w:numPr>
        <w:rPr>
          <w:color w:val="000000" w:themeColor="text1"/>
        </w:rPr>
      </w:pPr>
      <w:r>
        <w:rPr>
          <w:rFonts w:cs="Arial"/>
          <w:color w:val="000000" w:themeColor="text1"/>
        </w:rPr>
        <w:t xml:space="preserve">Prior, Markus and Arthur </w:t>
      </w:r>
      <w:proofErr w:type="spellStart"/>
      <w:r>
        <w:rPr>
          <w:rFonts w:cs="Arial"/>
          <w:color w:val="000000" w:themeColor="text1"/>
        </w:rPr>
        <w:t>Lupia</w:t>
      </w:r>
      <w:proofErr w:type="spellEnd"/>
      <w:r>
        <w:rPr>
          <w:rFonts w:cs="Arial"/>
          <w:color w:val="000000" w:themeColor="text1"/>
        </w:rPr>
        <w:t>.  2008</w:t>
      </w:r>
      <w:r w:rsidRPr="00B149AA">
        <w:rPr>
          <w:rFonts w:cs="Arial"/>
          <w:color w:val="000000" w:themeColor="text1"/>
        </w:rPr>
        <w:t xml:space="preserve">. Money, Time, and Political Knowledge: Distinguishing Quick Recall and Political Learning Skills. </w:t>
      </w:r>
      <w:r w:rsidRPr="00B149AA">
        <w:rPr>
          <w:rFonts w:cs="Arial"/>
          <w:i/>
          <w:iCs/>
          <w:color w:val="000000" w:themeColor="text1"/>
        </w:rPr>
        <w:t>American Journal of Political Science</w:t>
      </w:r>
      <w:r w:rsidRPr="00B149AA">
        <w:rPr>
          <w:rFonts w:cs="Arial"/>
          <w:color w:val="000000" w:themeColor="text1"/>
        </w:rPr>
        <w:t>, 52 (1): 168-182.</w:t>
      </w:r>
    </w:p>
    <w:p w:rsidR="00383BCE" w:rsidRPr="00B149AA" w:rsidRDefault="001A14A1" w:rsidP="00383BCE">
      <w:pPr>
        <w:pStyle w:val="ListParagraph"/>
        <w:numPr>
          <w:ilvl w:val="1"/>
          <w:numId w:val="2"/>
        </w:numPr>
        <w:rPr>
          <w:color w:val="000000" w:themeColor="text1"/>
        </w:rPr>
      </w:pPr>
      <w:proofErr w:type="spellStart"/>
      <w:r>
        <w:rPr>
          <w:rFonts w:cs="Arial"/>
          <w:color w:val="000000" w:themeColor="text1"/>
        </w:rPr>
        <w:lastRenderedPageBreak/>
        <w:t>Bassili</w:t>
      </w:r>
      <w:proofErr w:type="spellEnd"/>
      <w:r>
        <w:rPr>
          <w:rFonts w:cs="Arial"/>
          <w:color w:val="000000" w:themeColor="text1"/>
        </w:rPr>
        <w:t>, John N. 1996.  Meta-judgmental versus operative indexes of psychological attributes: The case of measures of attitude strength.</w:t>
      </w:r>
    </w:p>
    <w:p w:rsidR="00383BCE" w:rsidRDefault="009447D8" w:rsidP="00583FA6">
      <w:pPr>
        <w:pStyle w:val="ListParagraph"/>
        <w:ind w:left="1440"/>
      </w:pPr>
    </w:p>
    <w:p w:rsidR="00583FA6" w:rsidRDefault="001A14A1" w:rsidP="00383BCE">
      <w:pPr>
        <w:pStyle w:val="ListParagraph"/>
        <w:numPr>
          <w:ilvl w:val="0"/>
          <w:numId w:val="2"/>
        </w:numPr>
      </w:pPr>
      <w:r>
        <w:t>Presentation and Discussion of Survey Proposals</w:t>
      </w:r>
    </w:p>
    <w:p w:rsidR="00383BCE" w:rsidRDefault="009447D8" w:rsidP="00583FA6">
      <w:pPr>
        <w:pStyle w:val="ListParagraph"/>
      </w:pPr>
    </w:p>
    <w:p w:rsidR="00383BCE" w:rsidRDefault="001A14A1" w:rsidP="00383BCE">
      <w:pPr>
        <w:pStyle w:val="ListParagraph"/>
        <w:numPr>
          <w:ilvl w:val="0"/>
          <w:numId w:val="2"/>
        </w:numPr>
      </w:pPr>
      <w:r>
        <w:t>Survey Sampling</w:t>
      </w:r>
    </w:p>
    <w:p w:rsidR="00BF0A87" w:rsidRDefault="001A14A1" w:rsidP="00383BCE">
      <w:pPr>
        <w:pStyle w:val="ListParagraph"/>
        <w:numPr>
          <w:ilvl w:val="1"/>
          <w:numId w:val="2"/>
        </w:numPr>
      </w:pPr>
      <w:proofErr w:type="spellStart"/>
      <w:r>
        <w:t>Lohr</w:t>
      </w:r>
      <w:proofErr w:type="spellEnd"/>
      <w:r>
        <w:t>, Sharon L. Sampling: Design and Analysis Chapters 1-2, 4 (5-6).</w:t>
      </w:r>
    </w:p>
    <w:p w:rsidR="00010BC6" w:rsidRDefault="001A14A1" w:rsidP="00010BC6">
      <w:pPr>
        <w:pStyle w:val="ListParagraph"/>
        <w:numPr>
          <w:ilvl w:val="1"/>
          <w:numId w:val="2"/>
        </w:numPr>
      </w:pPr>
      <w:r>
        <w:t xml:space="preserve">Sears, David O. 1986. College </w:t>
      </w:r>
      <w:proofErr w:type="gramStart"/>
      <w:r>
        <w:t>Sophomores</w:t>
      </w:r>
      <w:proofErr w:type="gramEnd"/>
      <w:r>
        <w:t xml:space="preserve"> in the Laboratory: Influences of a narrow data base on social psychology’s view of human nature. Journal of Personality and Social Psychology, 51(3), 515-530.</w:t>
      </w:r>
    </w:p>
    <w:p w:rsidR="00010BC6" w:rsidRPr="00010BC6" w:rsidRDefault="001A14A1" w:rsidP="00010BC6">
      <w:pPr>
        <w:pStyle w:val="ListParagraph"/>
        <w:numPr>
          <w:ilvl w:val="1"/>
          <w:numId w:val="2"/>
        </w:numPr>
      </w:pPr>
      <w:r>
        <w:t xml:space="preserve">Druckman, James and Cindy D. </w:t>
      </w:r>
      <w:proofErr w:type="spellStart"/>
      <w:r>
        <w:t>Kam</w:t>
      </w:r>
      <w:proofErr w:type="spellEnd"/>
      <w:r>
        <w:t xml:space="preserve">.  2011.  </w:t>
      </w:r>
      <w:r w:rsidRPr="00010BC6">
        <w:t xml:space="preserve">Students as Experimental Participants: A Defense of the 'Narrow Data Base,'” in James N. Druckman, Donald P. Green, James H. </w:t>
      </w:r>
      <w:proofErr w:type="spellStart"/>
      <w:r w:rsidRPr="00010BC6">
        <w:t>Kuklinski</w:t>
      </w:r>
      <w:proofErr w:type="spellEnd"/>
      <w:r w:rsidRPr="00010BC6">
        <w:t xml:space="preserve">, and Arthur </w:t>
      </w:r>
      <w:proofErr w:type="spellStart"/>
      <w:r w:rsidRPr="00010BC6">
        <w:t>Lupia</w:t>
      </w:r>
      <w:proofErr w:type="spellEnd"/>
      <w:r w:rsidRPr="00010BC6">
        <w:t>, eds., Cambridge Handbook of Experimental Political Science, New York: Cambridge University Press, 2011</w:t>
      </w:r>
    </w:p>
    <w:p w:rsidR="00383BCE" w:rsidRDefault="009447D8" w:rsidP="00010BC6">
      <w:pPr>
        <w:pStyle w:val="ListParagraph"/>
        <w:ind w:left="1440"/>
      </w:pPr>
    </w:p>
    <w:p w:rsidR="00383BCE" w:rsidRDefault="001A14A1" w:rsidP="00383BCE">
      <w:pPr>
        <w:pStyle w:val="ListParagraph"/>
        <w:numPr>
          <w:ilvl w:val="0"/>
          <w:numId w:val="2"/>
        </w:numPr>
      </w:pPr>
      <w:r>
        <w:t>Collecting Data: practical issues  (IRB, programming, recruitment, payment)</w:t>
      </w:r>
    </w:p>
    <w:p w:rsidR="00F45554" w:rsidRDefault="001A14A1" w:rsidP="00383BCE">
      <w:pPr>
        <w:pStyle w:val="ListParagraph"/>
        <w:numPr>
          <w:ilvl w:val="1"/>
          <w:numId w:val="2"/>
        </w:numPr>
      </w:pPr>
      <w:proofErr w:type="spellStart"/>
      <w:r>
        <w:t>Malhotra</w:t>
      </w:r>
      <w:proofErr w:type="spellEnd"/>
      <w:r>
        <w:t xml:space="preserve"> and </w:t>
      </w:r>
      <w:proofErr w:type="spellStart"/>
      <w:r>
        <w:t>Krosnick</w:t>
      </w:r>
      <w:proofErr w:type="spellEnd"/>
      <w:r>
        <w:t>. “</w:t>
      </w:r>
      <w:r w:rsidRPr="008C056D">
        <w:t>The Effect of Survey Mode and Sampling on Inferences about Political Attitudes and Behavior: Comparing the 2000 and 2004 ANES to Internet Surveys with Nonprobability Samples</w:t>
      </w:r>
      <w:r>
        <w:t>” Political Analysis.</w:t>
      </w:r>
    </w:p>
    <w:p w:rsidR="00383BCE" w:rsidRPr="008C056D" w:rsidRDefault="001A14A1" w:rsidP="00F45554">
      <w:pPr>
        <w:pStyle w:val="ListParagraph"/>
        <w:numPr>
          <w:ilvl w:val="1"/>
          <w:numId w:val="2"/>
        </w:numPr>
      </w:pPr>
      <w:proofErr w:type="spellStart"/>
      <w:r>
        <w:t>Tourangeau</w:t>
      </w:r>
      <w:proofErr w:type="spellEnd"/>
      <w:r>
        <w:t xml:space="preserve">, Roger and Tom Smith.  1996. Asking Sensitive Questions: The Impact of Data Collection Mode, Question Format and Question Context. Public Opinion Quarterly, 60, 275-304. </w:t>
      </w:r>
    </w:p>
    <w:p w:rsidR="00383BCE" w:rsidRDefault="001A14A1" w:rsidP="00383BCE">
      <w:pPr>
        <w:pStyle w:val="ListParagraph"/>
        <w:numPr>
          <w:ilvl w:val="1"/>
          <w:numId w:val="2"/>
        </w:numPr>
      </w:pPr>
      <w:proofErr w:type="spellStart"/>
      <w:r>
        <w:t>Vavreck</w:t>
      </w:r>
      <w:proofErr w:type="spellEnd"/>
      <w:r>
        <w:t>, Lynn “</w:t>
      </w:r>
      <w:r w:rsidRPr="007A0EDC">
        <w:t>The Consequences of Face-to-Face Interviews for</w:t>
      </w:r>
      <w:r>
        <w:t xml:space="preserve"> </w:t>
      </w:r>
      <w:r w:rsidRPr="007A0EDC">
        <w:t>Respondents with Low Cognitive Skills: A</w:t>
      </w:r>
      <w:r>
        <w:t xml:space="preserve"> </w:t>
      </w:r>
      <w:r w:rsidRPr="007A0EDC">
        <w:t>Randomized Experiment assigning In-person &amp;</w:t>
      </w:r>
      <w:r>
        <w:t xml:space="preserve"> </w:t>
      </w:r>
      <w:r w:rsidRPr="007A0EDC">
        <w:t>Self-complete Survey Modes</w:t>
      </w:r>
      <w:r>
        <w:t>” Working Paper.</w:t>
      </w:r>
    </w:p>
    <w:p w:rsidR="00383BCE" w:rsidRDefault="001A14A1" w:rsidP="00383BCE">
      <w:pPr>
        <w:pStyle w:val="ListParagraph"/>
        <w:numPr>
          <w:ilvl w:val="1"/>
          <w:numId w:val="2"/>
        </w:numPr>
      </w:pPr>
      <w:proofErr w:type="spellStart"/>
      <w:r>
        <w:t>Berinsky</w:t>
      </w:r>
      <w:proofErr w:type="spellEnd"/>
      <w:r>
        <w:t>, Huber and Lenz “</w:t>
      </w:r>
      <w:r w:rsidRPr="007A0EDC">
        <w:t xml:space="preserve">Evaluating Online Labor Markets for </w:t>
      </w:r>
      <w:r>
        <w:t>E</w:t>
      </w:r>
      <w:r w:rsidRPr="007A0EDC">
        <w:t xml:space="preserve">xperimental Research: </w:t>
      </w:r>
      <w:proofErr w:type="spellStart"/>
      <w:r w:rsidRPr="007A0EDC">
        <w:t>Amazon.com’s</w:t>
      </w:r>
      <w:proofErr w:type="spellEnd"/>
      <w:r w:rsidRPr="007A0EDC">
        <w:t xml:space="preserve"> Mechanical Turk</w:t>
      </w:r>
      <w:r>
        <w:t>” Political Analysis</w:t>
      </w:r>
    </w:p>
    <w:p w:rsidR="00583FA6" w:rsidRDefault="001A14A1" w:rsidP="00383BCE">
      <w:pPr>
        <w:pStyle w:val="ListParagraph"/>
        <w:numPr>
          <w:ilvl w:val="1"/>
          <w:numId w:val="2"/>
        </w:numPr>
      </w:pPr>
      <w:proofErr w:type="spellStart"/>
      <w:r>
        <w:t>Berinsky</w:t>
      </w:r>
      <w:proofErr w:type="spellEnd"/>
      <w:r>
        <w:t>, Margolis and Sances 2012. “</w:t>
      </w:r>
      <w:r w:rsidRPr="009F03C5">
        <w:t>Separating the Shirkers from the Workers? Making Sure Respondents Pay Attention on Internet Surveys</w:t>
      </w:r>
      <w:r>
        <w:t>”</w:t>
      </w:r>
    </w:p>
    <w:p w:rsidR="00383BCE" w:rsidRDefault="009447D8" w:rsidP="00583FA6">
      <w:pPr>
        <w:pStyle w:val="ListParagraph"/>
        <w:ind w:left="1440"/>
      </w:pPr>
    </w:p>
    <w:p w:rsidR="00583FA6" w:rsidRDefault="001A14A1" w:rsidP="00383BCE">
      <w:pPr>
        <w:pStyle w:val="ListParagraph"/>
        <w:numPr>
          <w:ilvl w:val="0"/>
          <w:numId w:val="2"/>
        </w:numPr>
      </w:pPr>
      <w:r>
        <w:t>Special Topics: tentatively implicit measures, panel surveys, elite surveys</w:t>
      </w:r>
      <w:r>
        <w:br/>
        <w:t>Readings TBD</w:t>
      </w:r>
    </w:p>
    <w:p w:rsidR="00383BCE" w:rsidRDefault="009447D8" w:rsidP="00583FA6">
      <w:pPr>
        <w:pStyle w:val="ListParagraph"/>
      </w:pPr>
    </w:p>
    <w:p w:rsidR="00383BCE" w:rsidRDefault="001A14A1" w:rsidP="00383BCE">
      <w:pPr>
        <w:pStyle w:val="ListParagraph"/>
        <w:numPr>
          <w:ilvl w:val="0"/>
          <w:numId w:val="2"/>
        </w:numPr>
      </w:pPr>
      <w:r>
        <w:t>Measurement</w:t>
      </w:r>
    </w:p>
    <w:p w:rsidR="00010BC6" w:rsidRDefault="001A14A1" w:rsidP="00383BCE">
      <w:pPr>
        <w:pStyle w:val="ListParagraph"/>
        <w:numPr>
          <w:ilvl w:val="1"/>
          <w:numId w:val="2"/>
        </w:numPr>
      </w:pPr>
      <w:proofErr w:type="spellStart"/>
      <w:r>
        <w:t>Ansolabehere</w:t>
      </w:r>
      <w:proofErr w:type="spellEnd"/>
      <w:r>
        <w:t xml:space="preserve">, </w:t>
      </w:r>
      <w:proofErr w:type="spellStart"/>
      <w:r>
        <w:t>Rodden</w:t>
      </w:r>
      <w:proofErr w:type="spellEnd"/>
      <w:r>
        <w:t xml:space="preserve"> and Snyder “The Strength of Issues”</w:t>
      </w:r>
    </w:p>
    <w:p w:rsidR="00010BC6" w:rsidRDefault="001A14A1" w:rsidP="00383BCE">
      <w:pPr>
        <w:pStyle w:val="ListParagraph"/>
        <w:numPr>
          <w:ilvl w:val="1"/>
          <w:numId w:val="2"/>
        </w:numPr>
      </w:pPr>
      <w:proofErr w:type="spellStart"/>
      <w:r>
        <w:t>Jessee</w:t>
      </w:r>
      <w:proofErr w:type="spellEnd"/>
      <w:r>
        <w:t>, Stephen.  2010. Partisan Bias, Political Information and Spatial Voting in the 2008 Presidential Election.  The Journal of Politics, 72 (2): 327-340.</w:t>
      </w:r>
    </w:p>
    <w:p w:rsidR="00583FA6" w:rsidRDefault="001A14A1" w:rsidP="00383BCE">
      <w:pPr>
        <w:pStyle w:val="ListParagraph"/>
        <w:numPr>
          <w:ilvl w:val="1"/>
          <w:numId w:val="2"/>
        </w:numPr>
      </w:pPr>
      <w:proofErr w:type="spellStart"/>
      <w:r>
        <w:t>Krosnick</w:t>
      </w:r>
      <w:proofErr w:type="spellEnd"/>
      <w:r>
        <w:t xml:space="preserve">, Jon A. David S. </w:t>
      </w:r>
      <w:proofErr w:type="spellStart"/>
      <w:r>
        <w:t>Boninger</w:t>
      </w:r>
      <w:proofErr w:type="spellEnd"/>
      <w:r>
        <w:t xml:space="preserve">, Yao C. Chuang, Matthew K. </w:t>
      </w:r>
      <w:proofErr w:type="spellStart"/>
      <w:r>
        <w:t>Merent</w:t>
      </w:r>
      <w:proofErr w:type="spellEnd"/>
      <w:r>
        <w:t>, and Catherine G. Carnot.  1993.  Attitude Strength: One Construct or Many Related Constructs?  Journal of Personality and Social Psychology, 65(6): 1132-1151.</w:t>
      </w:r>
    </w:p>
    <w:p w:rsidR="00383BCE" w:rsidRDefault="009447D8" w:rsidP="00583FA6">
      <w:pPr>
        <w:pStyle w:val="ListParagraph"/>
        <w:ind w:left="1440"/>
      </w:pPr>
    </w:p>
    <w:p w:rsidR="00383BCE" w:rsidRDefault="001A14A1" w:rsidP="00383BCE">
      <w:pPr>
        <w:pStyle w:val="ListParagraph"/>
        <w:numPr>
          <w:ilvl w:val="0"/>
          <w:numId w:val="2"/>
        </w:numPr>
      </w:pPr>
      <w:r>
        <w:lastRenderedPageBreak/>
        <w:t>Dealing with Data</w:t>
      </w:r>
      <w:r>
        <w:br/>
        <w:t>Non-response, imputation, weighting</w:t>
      </w:r>
    </w:p>
    <w:p w:rsidR="00383BCE" w:rsidRDefault="001A14A1" w:rsidP="00383BCE">
      <w:pPr>
        <w:pStyle w:val="ListParagraph"/>
        <w:numPr>
          <w:ilvl w:val="1"/>
          <w:numId w:val="2"/>
        </w:numPr>
      </w:pPr>
      <w:proofErr w:type="spellStart"/>
      <w:r>
        <w:t>Gelman</w:t>
      </w:r>
      <w:proofErr w:type="spellEnd"/>
      <w:r>
        <w:t>, Andrew. 2007. Struggles with Survey Weighting and Regression Modeling.  Statistical Science 22(2):153-164</w:t>
      </w:r>
    </w:p>
    <w:p w:rsidR="00383BCE" w:rsidRDefault="001A14A1" w:rsidP="00383BCE">
      <w:pPr>
        <w:pStyle w:val="ListParagraph"/>
        <w:numPr>
          <w:ilvl w:val="1"/>
          <w:numId w:val="2"/>
        </w:numPr>
      </w:pPr>
      <w:proofErr w:type="spellStart"/>
      <w:r>
        <w:t>Lohr</w:t>
      </w:r>
      <w:proofErr w:type="spellEnd"/>
      <w:r>
        <w:t xml:space="preserve">, Sharon L. </w:t>
      </w:r>
      <w:proofErr w:type="spellStart"/>
      <w:r>
        <w:t>Sampling</w:t>
      </w:r>
      <w:proofErr w:type="gramStart"/>
      <w:r>
        <w:t>:Design</w:t>
      </w:r>
      <w:proofErr w:type="spellEnd"/>
      <w:proofErr w:type="gramEnd"/>
      <w:r>
        <w:t xml:space="preserve"> and Analysis Chapter 8.</w:t>
      </w:r>
    </w:p>
    <w:p w:rsidR="00383BCE" w:rsidRDefault="001A14A1" w:rsidP="00383BCE">
      <w:pPr>
        <w:pStyle w:val="ListParagraph"/>
        <w:numPr>
          <w:ilvl w:val="1"/>
          <w:numId w:val="2"/>
        </w:numPr>
      </w:pPr>
      <w:proofErr w:type="spellStart"/>
      <w:r>
        <w:t>Gelman</w:t>
      </w:r>
      <w:proofErr w:type="spellEnd"/>
      <w:r>
        <w:t>, Andrew and Jennifer Hill. Missing-data Imputation (Ch. 25 in Data Analysis Using Regression and Multilevel/Hierarchical Models).</w:t>
      </w:r>
    </w:p>
    <w:p w:rsidR="00583FA6" w:rsidRDefault="001A14A1" w:rsidP="00383BCE">
      <w:pPr>
        <w:pStyle w:val="ListParagraph"/>
        <w:numPr>
          <w:ilvl w:val="1"/>
          <w:numId w:val="2"/>
        </w:numPr>
      </w:pPr>
      <w:r>
        <w:t>King et al. Not asked and Not Answered: Multiple Imputation for Multiple Surveys</w:t>
      </w:r>
    </w:p>
    <w:p w:rsidR="00383BCE" w:rsidRDefault="009447D8" w:rsidP="00583FA6">
      <w:pPr>
        <w:pStyle w:val="ListParagraph"/>
        <w:ind w:left="1440"/>
      </w:pPr>
    </w:p>
    <w:p w:rsidR="00383BCE" w:rsidRDefault="001A14A1" w:rsidP="00383BCE">
      <w:pPr>
        <w:pStyle w:val="ListParagraph"/>
        <w:numPr>
          <w:ilvl w:val="0"/>
          <w:numId w:val="2"/>
        </w:numPr>
      </w:pPr>
      <w:r>
        <w:t>Dealing with Data II.</w:t>
      </w:r>
    </w:p>
    <w:p w:rsidR="00383BCE" w:rsidRDefault="001A14A1" w:rsidP="00383BCE">
      <w:pPr>
        <w:pStyle w:val="ListParagraph"/>
        <w:numPr>
          <w:ilvl w:val="1"/>
          <w:numId w:val="2"/>
        </w:numPr>
      </w:pPr>
      <w:r>
        <w:t>Baron, Rueben M. and David A. Kenny. 1986. The Moderator-Mediator Distinction in Social Psychological Research: Conceptual, Strategic, and Statistical Considerations.  Journal of Personality and Social Psychology, 51: 1173-1182.</w:t>
      </w:r>
    </w:p>
    <w:p w:rsidR="00010BC6" w:rsidRDefault="001A14A1" w:rsidP="00583FA6">
      <w:pPr>
        <w:pStyle w:val="ListParagraph"/>
        <w:numPr>
          <w:ilvl w:val="1"/>
          <w:numId w:val="2"/>
        </w:numPr>
      </w:pPr>
      <w:proofErr w:type="spellStart"/>
      <w:r>
        <w:t>Brambor</w:t>
      </w:r>
      <w:proofErr w:type="spellEnd"/>
      <w:r>
        <w:t xml:space="preserve">, Thomas, William Roberts Clark, Matt </w:t>
      </w:r>
      <w:proofErr w:type="spellStart"/>
      <w:r>
        <w:t>Golder</w:t>
      </w:r>
      <w:proofErr w:type="spellEnd"/>
      <w:r>
        <w:t xml:space="preserve">.  2005. “Understanding Interaction Models: Improving Empirical Analyses.” </w:t>
      </w:r>
      <w:r w:rsidRPr="00F4790B">
        <w:rPr>
          <w:i/>
        </w:rPr>
        <w:t xml:space="preserve">Political Analysis </w:t>
      </w:r>
      <w:r>
        <w:t>13(1):1-20.</w:t>
      </w:r>
    </w:p>
    <w:p w:rsidR="00383BCE" w:rsidRDefault="009447D8" w:rsidP="00010BC6">
      <w:pPr>
        <w:pStyle w:val="ListParagraph"/>
        <w:ind w:left="1440"/>
      </w:pPr>
    </w:p>
    <w:p w:rsidR="00383BCE" w:rsidRDefault="001A14A1" w:rsidP="00383BCE">
      <w:pPr>
        <w:pStyle w:val="ListParagraph"/>
        <w:numPr>
          <w:ilvl w:val="0"/>
          <w:numId w:val="2"/>
        </w:numPr>
      </w:pPr>
      <w:r>
        <w:t>Presentation and Discussion of Survey Results</w:t>
      </w:r>
    </w:p>
    <w:p w:rsidR="000879EE" w:rsidRPr="009A1B31" w:rsidRDefault="009447D8" w:rsidP="00D73C84">
      <w:pPr>
        <w:spacing w:after="60"/>
        <w:rPr>
          <w:rFonts w:ascii="Helvetica" w:hAnsi="Helvetica" w:cs="Arial"/>
          <w:b/>
        </w:rPr>
      </w:pPr>
    </w:p>
    <w:sectPr w:rsidR="000879EE" w:rsidRPr="009A1B31" w:rsidSect="000879EE">
      <w:footerReference w:type="even" r:id="rId9"/>
      <w:footerReference w:type="default" r:id="rId10"/>
      <w:type w:val="continuous"/>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A14A1" w:rsidRDefault="001A14A1">
      <w:r>
        <w:separator/>
      </w:r>
    </w:p>
  </w:endnote>
  <w:endnote w:type="continuationSeparator" w:id="0">
    <w:p w:rsidR="001A14A1" w:rsidRDefault="001A14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Grande">
    <w:charset w:val="00"/>
    <w:family w:val="auto"/>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Verdana">
    <w:panose1 w:val="020B0604030504040204"/>
    <w:charset w:val="00"/>
    <w:family w:val="auto"/>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0BC6" w:rsidRDefault="001A14A1" w:rsidP="000879E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010BC6" w:rsidRDefault="009447D8" w:rsidP="000879EE">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0BC6" w:rsidRDefault="001A14A1" w:rsidP="000879E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9447D8">
      <w:rPr>
        <w:rStyle w:val="PageNumber"/>
        <w:noProof/>
      </w:rPr>
      <w:t>1</w:t>
    </w:r>
    <w:r>
      <w:rPr>
        <w:rStyle w:val="PageNumber"/>
      </w:rPr>
      <w:fldChar w:fldCharType="end"/>
    </w:r>
  </w:p>
  <w:p w:rsidR="00010BC6" w:rsidRDefault="009447D8" w:rsidP="000879EE">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A14A1" w:rsidRDefault="001A14A1">
      <w:r>
        <w:separator/>
      </w:r>
    </w:p>
  </w:footnote>
  <w:footnote w:type="continuationSeparator" w:id="0">
    <w:p w:rsidR="001A14A1" w:rsidRDefault="001A14A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9F342D"/>
    <w:multiLevelType w:val="hybridMultilevel"/>
    <w:tmpl w:val="E36C402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6140383"/>
    <w:multiLevelType w:val="hybridMultilevel"/>
    <w:tmpl w:val="C8F6FC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4"/>
  <w:proofState w:spelling="clean" w:grammar="clean"/>
  <w:doNotTrackMoves/>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B6120F"/>
    <w:rsid w:val="001A14A1"/>
    <w:rsid w:val="009447D8"/>
    <w:rsid w:val="00B6120F"/>
  </w:rsids>
  <m:mathPr>
    <m:mathFont m:val="Cambria Math"/>
    <m:brkBin m:val="before"/>
    <m:brkBinSub m:val="--"/>
    <m:smallFrac/>
    <m:dispDe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1E83"/>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1"/>
    <w:uiPriority w:val="99"/>
    <w:semiHidden/>
    <w:unhideWhenUsed/>
    <w:rsid w:val="00D231C8"/>
    <w:rPr>
      <w:rFonts w:ascii="Lucida Grande" w:hAnsi="Lucida Grande"/>
      <w:sz w:val="18"/>
      <w:szCs w:val="18"/>
    </w:rPr>
  </w:style>
  <w:style w:type="character" w:customStyle="1" w:styleId="BalloonTextChar">
    <w:name w:val="Balloon Text Char"/>
    <w:basedOn w:val="DefaultParagraphFont"/>
    <w:uiPriority w:val="99"/>
    <w:semiHidden/>
    <w:rsid w:val="00D231C8"/>
    <w:rPr>
      <w:rFonts w:ascii="Lucida Grande" w:hAnsi="Lucida Grande"/>
      <w:sz w:val="18"/>
      <w:szCs w:val="18"/>
    </w:rPr>
  </w:style>
  <w:style w:type="character" w:customStyle="1" w:styleId="BalloonTextChar0">
    <w:name w:val="Balloon Text Char"/>
    <w:basedOn w:val="DefaultParagraphFont"/>
    <w:uiPriority w:val="99"/>
    <w:semiHidden/>
    <w:rsid w:val="00D231C8"/>
    <w:rPr>
      <w:rFonts w:ascii="Lucida Grande" w:hAnsi="Lucida Grande"/>
      <w:sz w:val="18"/>
      <w:szCs w:val="18"/>
    </w:rPr>
  </w:style>
  <w:style w:type="character" w:customStyle="1" w:styleId="BalloonTextChar1">
    <w:name w:val="Balloon Text Char1"/>
    <w:basedOn w:val="DefaultParagraphFont"/>
    <w:link w:val="BalloonText"/>
    <w:uiPriority w:val="99"/>
    <w:semiHidden/>
    <w:rsid w:val="00D231C8"/>
    <w:rPr>
      <w:rFonts w:ascii="Lucida Grande" w:hAnsi="Lucida Grande"/>
      <w:sz w:val="18"/>
      <w:szCs w:val="18"/>
    </w:rPr>
  </w:style>
  <w:style w:type="character" w:styleId="Hyperlink">
    <w:name w:val="Hyperlink"/>
    <w:basedOn w:val="DefaultParagraphFont"/>
    <w:rsid w:val="00207824"/>
    <w:rPr>
      <w:color w:val="0000FF"/>
      <w:u w:val="single"/>
    </w:rPr>
  </w:style>
  <w:style w:type="character" w:styleId="FollowedHyperlink">
    <w:name w:val="FollowedHyperlink"/>
    <w:basedOn w:val="DefaultParagraphFont"/>
    <w:rsid w:val="000368F8"/>
    <w:rPr>
      <w:color w:val="800080"/>
      <w:u w:val="single"/>
    </w:rPr>
  </w:style>
  <w:style w:type="paragraph" w:styleId="Header">
    <w:name w:val="header"/>
    <w:basedOn w:val="Normal"/>
    <w:link w:val="HeaderChar"/>
    <w:uiPriority w:val="99"/>
    <w:semiHidden/>
    <w:unhideWhenUsed/>
    <w:rsid w:val="00C74599"/>
    <w:pPr>
      <w:tabs>
        <w:tab w:val="center" w:pos="4320"/>
        <w:tab w:val="right" w:pos="8640"/>
      </w:tabs>
    </w:pPr>
  </w:style>
  <w:style w:type="character" w:customStyle="1" w:styleId="HeaderChar">
    <w:name w:val="Header Char"/>
    <w:basedOn w:val="DefaultParagraphFont"/>
    <w:link w:val="Header"/>
    <w:uiPriority w:val="99"/>
    <w:semiHidden/>
    <w:rsid w:val="00C74599"/>
    <w:rPr>
      <w:sz w:val="24"/>
      <w:szCs w:val="24"/>
    </w:rPr>
  </w:style>
  <w:style w:type="paragraph" w:styleId="Footer">
    <w:name w:val="footer"/>
    <w:basedOn w:val="Normal"/>
    <w:link w:val="FooterChar"/>
    <w:uiPriority w:val="99"/>
    <w:unhideWhenUsed/>
    <w:rsid w:val="00C74599"/>
    <w:pPr>
      <w:tabs>
        <w:tab w:val="center" w:pos="4320"/>
        <w:tab w:val="right" w:pos="8640"/>
      </w:tabs>
    </w:pPr>
  </w:style>
  <w:style w:type="character" w:customStyle="1" w:styleId="FooterChar">
    <w:name w:val="Footer Char"/>
    <w:basedOn w:val="DefaultParagraphFont"/>
    <w:link w:val="Footer"/>
    <w:uiPriority w:val="99"/>
    <w:rsid w:val="00C74599"/>
    <w:rPr>
      <w:sz w:val="24"/>
      <w:szCs w:val="24"/>
    </w:rPr>
  </w:style>
  <w:style w:type="character" w:styleId="PageNumber">
    <w:name w:val="page number"/>
    <w:basedOn w:val="DefaultParagraphFont"/>
    <w:uiPriority w:val="99"/>
    <w:semiHidden/>
    <w:unhideWhenUsed/>
    <w:rsid w:val="00A02D7A"/>
  </w:style>
  <w:style w:type="paragraph" w:styleId="ListParagraph">
    <w:name w:val="List Paragraph"/>
    <w:basedOn w:val="Normal"/>
    <w:uiPriority w:val="34"/>
    <w:qFormat/>
    <w:rsid w:val="00383BCE"/>
    <w:pPr>
      <w:ind w:left="720"/>
      <w:contextualSpacing/>
    </w:pPr>
    <w:rPr>
      <w:rFonts w:eastAsiaTheme="minorEastAsi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1E83"/>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alloonText">
    <w:name w:val="Hyperlink"/>
    <w:basedOn w:val="DefaultParagraphFont"/>
    <w:rsid w:val="00207824"/>
    <w:rPr>
      <w:color w:val="0000FF"/>
      <w:u w:val="single"/>
    </w:rPr>
  </w:style>
  <w:style w:type="character" w:styleId="BalloonTextChar">
    <w:name w:val="FollowedHyperlink"/>
    <w:basedOn w:val="DefaultParagraphFont"/>
    <w:rsid w:val="000368F8"/>
    <w:rPr>
      <w:color w:val="800080"/>
      <w:u w:val="single"/>
    </w:rPr>
  </w:style>
  <w:style w:type="paragraph" w:styleId="BalloonTextChar0">
    <w:name w:val="header"/>
    <w:basedOn w:val="Normal"/>
    <w:link w:val="BalloonTextChar1"/>
    <w:uiPriority w:val="99"/>
    <w:semiHidden/>
    <w:unhideWhenUsed/>
    <w:rsid w:val="00C74599"/>
    <w:pPr>
      <w:tabs>
        <w:tab w:val="center" w:pos="4320"/>
        <w:tab w:val="right" w:pos="8640"/>
      </w:tabs>
    </w:pPr>
  </w:style>
  <w:style w:type="character" w:customStyle="1" w:styleId="BalloonTextChar1">
    <w:name w:val="Header Char"/>
    <w:basedOn w:val="DefaultParagraphFont"/>
    <w:link w:val="BalloonTextChar0"/>
    <w:uiPriority w:val="99"/>
    <w:semiHidden/>
    <w:rsid w:val="00C74599"/>
    <w:rPr>
      <w:sz w:val="24"/>
      <w:szCs w:val="24"/>
    </w:rPr>
  </w:style>
  <w:style w:type="paragraph" w:styleId="Hyperlink">
    <w:name w:val="footer"/>
    <w:basedOn w:val="Normal"/>
    <w:link w:val="FollowedHyperlink"/>
    <w:uiPriority w:val="99"/>
    <w:unhideWhenUsed/>
    <w:rsid w:val="00C74599"/>
    <w:pPr>
      <w:tabs>
        <w:tab w:val="center" w:pos="4320"/>
        <w:tab w:val="right" w:pos="8640"/>
      </w:tabs>
    </w:pPr>
  </w:style>
  <w:style w:type="character" w:customStyle="1" w:styleId="FollowedHyperlink">
    <w:name w:val="Footer Char"/>
    <w:basedOn w:val="DefaultParagraphFont"/>
    <w:link w:val="Hyperlink"/>
    <w:uiPriority w:val="99"/>
    <w:rsid w:val="00C74599"/>
    <w:rPr>
      <w:sz w:val="24"/>
      <w:szCs w:val="24"/>
    </w:rPr>
  </w:style>
  <w:style w:type="character" w:styleId="Header">
    <w:name w:val="page number"/>
    <w:basedOn w:val="DefaultParagraphFont"/>
    <w:uiPriority w:val="99"/>
    <w:semiHidden/>
    <w:unhideWhenUsed/>
    <w:rsid w:val="00A02D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www.utexas.edu/diversity/ddce/ssd/"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1279</Words>
  <Characters>7294</Characters>
  <Application>Microsoft Office Word</Application>
  <DocSecurity>4</DocSecurity>
  <Lines>60</Lines>
  <Paragraphs>17</Paragraphs>
  <ScaleCrop>false</ScaleCrop>
  <HeadingPairs>
    <vt:vector size="2" baseType="variant">
      <vt:variant>
        <vt:lpstr>Title</vt:lpstr>
      </vt:variant>
      <vt:variant>
        <vt:i4>1</vt:i4>
      </vt:variant>
    </vt:vector>
  </HeadingPairs>
  <TitlesOfParts>
    <vt:vector size="1" baseType="lpstr">
      <vt:lpstr>Fall 2007</vt:lpstr>
    </vt:vector>
  </TitlesOfParts>
  <Company>Syracuse University</Company>
  <LinksUpToDate>false</LinksUpToDate>
  <CharactersWithSpaces>8556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Fall 2007</dc:title>
  <dc:creator>Stephen Jessee</dc:creator>
  <cp:lastModifiedBy>sgadaria</cp:lastModifiedBy>
  <cp:revision>2</cp:revision>
  <cp:lastPrinted>2012-08-28T17:56:00Z</cp:lastPrinted>
  <dcterms:created xsi:type="dcterms:W3CDTF">2012-08-29T01:13:00Z</dcterms:created>
  <dcterms:modified xsi:type="dcterms:W3CDTF">2012-08-29T01:13:00Z</dcterms:modified>
</cp:coreProperties>
</file>