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03: Language, Tokens and Multimodal AI</w:t>
      </w:r>
    </w:p>
    <w:p>
      <w:pPr>
        <w:pStyle w:val="Subtitle"/>
      </w:pPr>
      <w:r>
        <w:t xml:space="preserve">DATASCI 101: Introduction to AI Applications</w:t>
      </w:r>
    </w:p>
    <w:p>
      <w:pPr>
        <w:pStyle w:val="Author"/>
      </w:pPr>
      <w:r>
        <w:t xml:space="preserve">Emory University</w:t>
      </w:r>
    </w:p>
    <w:bookmarkStart w:id="21" w:name="instructions"/>
    <w:p>
      <w:pPr>
        <w:pStyle w:val="Heading2"/>
      </w:pPr>
      <w:r>
        <w:t xml:space="preserve">Instructions</w:t>
      </w:r>
    </w:p>
    <w:p>
      <w:pPr>
        <w:pStyle w:val="FirstParagraph"/>
      </w:pPr>
      <w:r>
        <w:t xml:space="preserve">This assignment covers material from</w:t>
      </w:r>
      <w:r>
        <w:t xml:space="preserve"> </w:t>
      </w:r>
      <w:r>
        <w:rPr>
          <w:b/>
          <w:bCs/>
        </w:rPr>
        <w:t xml:space="preserve">Lectures 06-07</w:t>
      </w:r>
      <w:r>
        <w:t xml:space="preserve">: Tokenisation and Embeddings, and Multimodal AI.</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context-window-math"/>
    <w:p>
      <w:pPr>
        <w:pStyle w:val="Heading3"/>
      </w:pPr>
      <w:r>
        <w:t xml:space="preserve">Question 1: Context window math</w:t>
      </w:r>
    </w:p>
    <w:p>
      <w:pPr>
        <w:pStyle w:val="FirstParagraph"/>
      </w:pPr>
      <w:r>
        <w:t xml:space="preserve">A model has a</w:t>
      </w:r>
      <w:r>
        <w:t xml:space="preserve"> </w:t>
      </w:r>
      <w:r>
        <w:rPr>
          <w:b/>
          <w:bCs/>
        </w:rPr>
        <w:t xml:space="preserve">32,000 token</w:t>
      </w:r>
      <w:r>
        <w:t xml:space="preserve"> </w:t>
      </w:r>
      <w:r>
        <w:t xml:space="preserve">context window. You want to analyse a legal document that is approximately</w:t>
      </w:r>
      <w:r>
        <w:t xml:space="preserve"> </w:t>
      </w:r>
      <w:r>
        <w:rPr>
          <w:b/>
          <w:bCs/>
        </w:rPr>
        <w:t xml:space="preserve">25,000 words</w:t>
      </w:r>
      <w:r>
        <w:t xml:space="preserve">.</w:t>
      </w:r>
    </w:p>
    <w:p>
      <w:pPr>
        <w:pStyle w:val="Compact"/>
        <w:numPr>
          <w:ilvl w:val="0"/>
          <w:numId w:val="1002"/>
        </w:numPr>
      </w:pPr>
      <w:r>
        <w:t xml:space="preserve">Using the rule</w:t>
      </w:r>
      <w:r>
        <w:t xml:space="preserve"> </w:t>
      </w:r>
      <w:r>
        <w:rPr>
          <w:i/>
          <w:iCs/>
        </w:rPr>
        <w:t xml:space="preserve">100 tokens ≈ 75 words</w:t>
      </w:r>
      <w:r>
        <w:t xml:space="preserve">, convert 25,000 words to tokens</w:t>
      </w:r>
    </w:p>
    <w:p>
      <w:pPr>
        <w:pStyle w:val="Compact"/>
        <w:numPr>
          <w:ilvl w:val="0"/>
          <w:numId w:val="1002"/>
        </w:numPr>
      </w:pPr>
      <w:r>
        <w:t xml:space="preserve">If your prompt uses 1,000 tokens and you want 2,000 tokens of output, will the document fit? Show your calculation</w:t>
      </w:r>
    </w:p>
    <w:p>
      <w:pPr>
        <w:pStyle w:val="Compact"/>
        <w:numPr>
          <w:ilvl w:val="0"/>
          <w:numId w:val="1002"/>
        </w:numPr>
      </w:pPr>
      <w:r>
        <w:t xml:space="preserve">If it doesn’t fit, propose ONE strategy to handle this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2" w:name="question-2-temperature-experiment"/>
    <w:p>
      <w:pPr>
        <w:pStyle w:val="Heading3"/>
      </w:pPr>
      <w:r>
        <w:t xml:space="preserve">Question 2: Temperature experiment</w:t>
      </w:r>
    </w:p>
    <w:p>
      <w:pPr>
        <w:pStyle w:val="FirstParagraph"/>
      </w:pPr>
      <w:r>
        <w:t xml:space="preserve">The</w:t>
      </w:r>
      <w:r>
        <w:t xml:space="preserve"> </w:t>
      </w:r>
      <w:r>
        <w:rPr>
          <w:b/>
          <w:bCs/>
        </w:rPr>
        <w:t xml:space="preserve">temperature</w:t>
      </w:r>
      <w:r>
        <w:t xml:space="preserve"> </w:t>
      </w:r>
      <w:r>
        <w:t xml:space="preserve">setting controls how random an LLM’s output is.</w:t>
      </w:r>
    </w:p>
    <w:p>
      <w:pPr>
        <w:pStyle w:val="Compact"/>
        <w:numPr>
          <w:ilvl w:val="0"/>
          <w:numId w:val="1003"/>
        </w:numPr>
      </w:pPr>
      <w:r>
        <w:t xml:space="preserve">Go to</w:t>
      </w:r>
      <w:r>
        <w:t xml:space="preserve"> </w:t>
      </w:r>
      <w:hyperlink r:id="rId10">
        <w:r>
          <w:rPr>
            <w:rStyle w:val="Hyperlink"/>
          </w:rPr>
          <w:t xml:space="preserve">aistudio.google.com</w:t>
        </w:r>
      </w:hyperlink>
      <w:r>
        <w:t xml:space="preserve"> </w:t>
      </w:r>
      <w:r>
        <w:t xml:space="preserve">and sign in. Use</w:t>
      </w:r>
      <w:r>
        <w:t xml:space="preserve"> </w:t>
      </w:r>
      <w:r>
        <w:rPr>
          <w:b/>
          <w:bCs/>
        </w:rPr>
        <w:t xml:space="preserve">Gemini 3.1 Pro Preview</w:t>
      </w:r>
      <w:r>
        <w:t xml:space="preserve"> </w:t>
      </w:r>
      <w:r>
        <w:t xml:space="preserve">for every step of this question, because it is the only model that shows the temperature setting. This link opens it directly:</w:t>
      </w:r>
      <w:r>
        <w:t xml:space="preserve"> </w:t>
      </w:r>
      <w:hyperlink r:id="rId11">
        <w:r>
          <w:rPr>
            <w:rStyle w:val="Hyperlink"/>
          </w:rPr>
          <w:t xml:space="preserve">https://aistudio.google.com/prompts/new_chat?model=gemini-3.1-pro-preview</w:t>
        </w:r>
      </w:hyperlink>
      <w:r>
        <w:t xml:space="preserve">. In the settings panel, turn</w:t>
      </w:r>
      <w:r>
        <w:t xml:space="preserve"> </w:t>
      </w:r>
      <w:r>
        <w:rPr>
          <w:b/>
          <w:bCs/>
        </w:rPr>
        <w:t xml:space="preserve">off</w:t>
      </w:r>
      <w:r>
        <w:t xml:space="preserve"> </w:t>
      </w:r>
      <w:r>
        <w:t xml:space="preserve">any web search or grounding option and set the thinking or reasoning level to its lowest setting. Both of these interfere with the experiment. (The labels change often. If you cannot find one of them, say so in your answer and carry on)</w:t>
      </w:r>
    </w:p>
    <w:p>
      <w:pPr>
        <w:pStyle w:val="Compact"/>
        <w:numPr>
          <w:ilvl w:val="0"/>
          <w:numId w:val="1003"/>
        </w:numPr>
      </w:pPr>
      <w:r>
        <w:t xml:space="preserve">Set the temperature to</w:t>
      </w:r>
      <w:r>
        <w:t xml:space="preserve"> </w:t>
      </w:r>
      <w:r>
        <w:rPr>
          <w:b/>
          <w:bCs/>
        </w:rPr>
        <w:t xml:space="preserve">0</w:t>
      </w:r>
      <w:r>
        <w:t xml:space="preserve">. Send the prompt</w:t>
      </w:r>
      <w:r>
        <w:t xml:space="preserve"> </w:t>
      </w:r>
      <w:r>
        <w:rPr>
          <w:i/>
          <w:iCs/>
        </w:rPr>
        <w:t xml:space="preserve">“Write a six-word story about the sea.”</w:t>
      </w:r>
      <w:r>
        <w:t xml:space="preserve"> </w:t>
      </w:r>
      <w:r>
        <w:t xml:space="preserve">three times,</w:t>
      </w:r>
      <w:r>
        <w:t xml:space="preserve"> </w:t>
      </w:r>
      <w:r>
        <w:rPr>
          <w:b/>
          <w:bCs/>
        </w:rPr>
        <w:t xml:space="preserve">starting a new chat each time</w:t>
      </w:r>
      <w:r>
        <w:t xml:space="preserve">. You can start one quickly with the</w:t>
      </w:r>
      <w:r>
        <w:t xml:space="preserve"> </w:t>
      </w:r>
      <w:r>
        <w:rPr>
          <w:b/>
          <w:bCs/>
        </w:rPr>
        <w:t xml:space="preserve">+</w:t>
      </w:r>
      <w:r>
        <w:t xml:space="preserve"> </w:t>
      </w:r>
      <w:r>
        <w:t xml:space="preserve">at the top of the page. Record all three</w:t>
      </w:r>
    </w:p>
    <w:p>
      <w:pPr>
        <w:pStyle w:val="Compact"/>
        <w:numPr>
          <w:ilvl w:val="0"/>
          <w:numId w:val="1003"/>
        </w:numPr>
      </w:pPr>
      <w:r>
        <w:t xml:space="preserve">Set the temperature to</w:t>
      </w:r>
      <w:r>
        <w:t xml:space="preserve"> </w:t>
      </w:r>
      <w:r>
        <w:rPr>
          <w:b/>
          <w:bCs/>
        </w:rPr>
        <w:t xml:space="preserve">2</w:t>
      </w:r>
      <w:r>
        <w:t xml:space="preserve">. Repeat, and record all three</w:t>
      </w:r>
    </w:p>
    <w:p>
      <w:pPr>
        <w:pStyle w:val="FirstParagraph"/>
      </w:pPr>
      <w:r>
        <w:rPr>
          <w:b/>
          <w:bCs/>
        </w:rPr>
        <w:t xml:space="preserve">Your task:</w:t>
      </w:r>
    </w:p>
    <w:p>
      <w:pPr>
        <w:pStyle w:val="Compact"/>
        <w:numPr>
          <w:ilvl w:val="0"/>
          <w:numId w:val="1004"/>
        </w:numPr>
      </w:pPr>
      <w:r>
        <w:t xml:space="preserve">Compare the three answers at each setting. What changed?</w:t>
      </w:r>
    </w:p>
    <w:p>
      <w:pPr>
        <w:pStyle w:val="Compact"/>
        <w:numPr>
          <w:ilvl w:val="0"/>
          <w:numId w:val="1004"/>
        </w:numPr>
      </w:pPr>
      <w:r>
        <w:t xml:space="preserve">At temperature 2, is the writing still coherent? Quote your worst result</w:t>
      </w:r>
    </w:p>
    <w:p>
      <w:pPr>
        <w:pStyle w:val="Compact"/>
        <w:numPr>
          <w:ilvl w:val="0"/>
          <w:numId w:val="1004"/>
        </w:numPr>
      </w:pPr>
      <w:r>
        <w:t xml:space="preserve">Telling ChatGPT to</w:t>
      </w:r>
      <w:r>
        <w:t xml:space="preserve"> </w:t>
      </w:r>
      <w:r>
        <w:t xml:space="preserve">“be more creative”</w:t>
      </w:r>
      <w:r>
        <w:t xml:space="preserve"> </w:t>
      </w:r>
      <w:r>
        <w:t xml:space="preserve">does not change its temperature. Explain what that instruction changes instead</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4" w:name="question-3-seeing-like-a-tokeniser"/>
    <w:p>
      <w:pPr>
        <w:pStyle w:val="Heading3"/>
      </w:pPr>
      <w:r>
        <w:t xml:space="preserve">Question 3: Seeing like a tokeniser</w:t>
      </w:r>
    </w:p>
    <w:p>
      <w:pPr>
        <w:pStyle w:val="FirstParagraph"/>
      </w:pPr>
      <w:r>
        <w:t xml:space="preserve">Before an LLM can process your words, it splits them into tokens and turns each token into an embedding (Lecture 06).</w:t>
      </w:r>
    </w:p>
    <w:p>
      <w:pPr>
        <w:pStyle w:val="BodyText"/>
      </w:pPr>
      <w:r>
        <w:rPr>
          <w:b/>
          <w:bCs/>
        </w:rPr>
        <w:t xml:space="preserve">Your task:</w:t>
      </w:r>
    </w:p>
    <w:p>
      <w:pPr>
        <w:pStyle w:val="Compact"/>
        <w:numPr>
          <w:ilvl w:val="0"/>
          <w:numId w:val="1005"/>
        </w:numPr>
      </w:pPr>
      <w:r>
        <w:t xml:space="preserve">Visit OpenAI’s tokeniser at</w:t>
      </w:r>
      <w:r>
        <w:t xml:space="preserve"> </w:t>
      </w:r>
      <w:hyperlink r:id="rId13">
        <w:r>
          <w:rPr>
            <w:rStyle w:val="Hyperlink"/>
          </w:rPr>
          <w:t xml:space="preserve">platform.openai.com/tokenizer</w:t>
        </w:r>
      </w:hyperlink>
      <w:r>
        <w:t xml:space="preserve"> </w:t>
      </w:r>
      <w:r>
        <w:t xml:space="preserve">and select the most recent GPT tokeniser in the dropdown (the exact label changes as models are released)</w:t>
      </w:r>
    </w:p>
    <w:p>
      <w:pPr>
        <w:pStyle w:val="Compact"/>
        <w:numPr>
          <w:ilvl w:val="0"/>
          <w:numId w:val="1005"/>
        </w:numPr>
      </w:pPr>
      <w:r>
        <w:t xml:space="preserve">Paste this sentence:</w:t>
      </w:r>
      <w:r>
        <w:t xml:space="preserve"> </w:t>
      </w:r>
      <w:r>
        <w:rPr>
          <w:i/>
          <w:iCs/>
        </w:rPr>
        <w:t xml:space="preserve">“The quick brown fox jumps over the lazy dog”</w:t>
      </w:r>
      <w:r>
        <w:t xml:space="preserve"> </w:t>
      </w:r>
      <w:r>
        <w:t xml:space="preserve">and record the token count</w:t>
      </w:r>
    </w:p>
    <w:p>
      <w:pPr>
        <w:pStyle w:val="Compact"/>
        <w:numPr>
          <w:ilvl w:val="0"/>
          <w:numId w:val="1005"/>
        </w:numPr>
      </w:pPr>
      <w:r>
        <w:t xml:space="preserve">Paste the Spanish translation:</w:t>
      </w:r>
      <w:r>
        <w:t xml:space="preserve"> </w:t>
      </w:r>
      <w:r>
        <w:rPr>
          <w:i/>
          <w:iCs/>
        </w:rPr>
        <w:t xml:space="preserve">“El rápido zorro marrón salta sobre el perro perezoso”</w:t>
      </w:r>
      <w:r>
        <w:t xml:space="preserve"> </w:t>
      </w:r>
      <w:r>
        <w:t xml:space="preserve">and record the count</w:t>
      </w:r>
    </w:p>
    <w:p>
      <w:pPr>
        <w:pStyle w:val="Compact"/>
        <w:numPr>
          <w:ilvl w:val="0"/>
          <w:numId w:val="1005"/>
        </w:numPr>
      </w:pPr>
      <w:r>
        <w:t xml:space="preserve">Paste the Hindi translation:</w:t>
      </w:r>
      <w:r>
        <w:t xml:space="preserve"> </w:t>
      </w:r>
      <w:r>
        <w:rPr>
          <w:i/>
          <w:iCs/>
        </w:rPr>
        <w:t xml:space="preserve">“फुर्तीली भूरी लोमड़ी आलसी कुत्ते के ऊपर कूदती है”</w:t>
      </w:r>
      <w:r>
        <w:t xml:space="preserve"> </w:t>
      </w:r>
      <w:r>
        <w:t xml:space="preserve">and record the count</w:t>
      </w:r>
    </w:p>
    <w:p>
      <w:pPr>
        <w:pStyle w:val="Compact"/>
        <w:numPr>
          <w:ilvl w:val="0"/>
          <w:numId w:val="1005"/>
        </w:numPr>
      </w:pPr>
      <w:r>
        <w:t xml:space="preserve">Paste the words</w:t>
      </w:r>
      <w:r>
        <w:t xml:space="preserve"> </w:t>
      </w:r>
      <w:r>
        <w:rPr>
          <w:i/>
          <w:iCs/>
        </w:rPr>
        <w:t xml:space="preserve">“unbelievable”</w:t>
      </w:r>
      <w:r>
        <w:t xml:space="preserve"> </w:t>
      </w:r>
      <w:r>
        <w:t xml:space="preserve">and</w:t>
      </w:r>
      <w:r>
        <w:t xml:space="preserve"> </w:t>
      </w:r>
      <w:r>
        <w:rPr>
          <w:i/>
          <w:iCs/>
        </w:rPr>
        <w:t xml:space="preserve">“unbelievableness”</w:t>
      </w:r>
      <w:r>
        <w:t xml:space="preserve"> </w:t>
      </w:r>
      <w:r>
        <w:t xml:space="preserve">and note how each one is split</w:t>
      </w:r>
    </w:p>
    <w:p>
      <w:pPr>
        <w:pStyle w:val="FirstParagraph"/>
      </w:pPr>
      <w:r>
        <w:rPr>
          <w:b/>
          <w:bCs/>
        </w:rPr>
        <w:t xml:space="preserve">Analysis:</w:t>
      </w:r>
    </w:p>
    <w:p>
      <w:pPr>
        <w:pStyle w:val="Compact"/>
        <w:numPr>
          <w:ilvl w:val="0"/>
          <w:numId w:val="1006"/>
        </w:numPr>
      </w:pPr>
      <w:r>
        <w:t xml:space="preserve">Which language needed the most tokens for the same sentence? Lecture 06 covered context windows: if your language needs three times as many tokens, what do you lose?</w:t>
      </w:r>
    </w:p>
    <w:p>
      <w:pPr>
        <w:pStyle w:val="Compact"/>
        <w:numPr>
          <w:ilvl w:val="0"/>
          <w:numId w:val="1006"/>
        </w:numPr>
      </w:pPr>
      <w:r>
        <w:t xml:space="preserve">Ask an LLM:</w:t>
      </w:r>
      <w:r>
        <w:t xml:space="preserve"> </w:t>
      </w:r>
      <w:r>
        <w:rPr>
          <w:i/>
          <w:iCs/>
        </w:rPr>
        <w:t xml:space="preserve">“Why do LLMs often perform better in English than in other languages?”</w:t>
      </w:r>
      <w:r>
        <w:t xml:space="preserve"> </w:t>
      </w:r>
      <w:r>
        <w:t xml:space="preserve">Compare its answer with what you observed</w:t>
      </w:r>
    </w:p>
    <w:p>
      <w:pPr>
        <w:pStyle w:val="Compact"/>
        <w:numPr>
          <w:ilvl w:val="0"/>
          <w:numId w:val="1006"/>
        </w:numPr>
      </w:pPr>
      <w:r>
        <w:t xml:space="preserve">In your own words, explain what an embedding captures that a token ID alone does not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4"/>
    <w:bookmarkStart w:id="17" w:name="question-4-same-sound-different-word"/>
    <w:p>
      <w:pPr>
        <w:pStyle w:val="Heading3"/>
      </w:pPr>
      <w:r>
        <w:t xml:space="preserve">Question 4: Same sound, different word</w:t>
      </w:r>
    </w:p>
    <w:p>
      <w:pPr>
        <w:pStyle w:val="FirstParagraph"/>
      </w:pPr>
      <w:r>
        <w:t xml:space="preserve">Lecture 07 covered Whisper, the open-source model behind much of today’s speech recognition.</w:t>
      </w:r>
    </w:p>
    <w:p>
      <w:pPr>
        <w:pStyle w:val="Compact"/>
        <w:numPr>
          <w:ilvl w:val="0"/>
          <w:numId w:val="1007"/>
        </w:numPr>
      </w:pPr>
      <w:r>
        <w:t xml:space="preserve">Go to</w:t>
      </w:r>
      <w:r>
        <w:t xml:space="preserve"> </w:t>
      </w:r>
      <w:hyperlink r:id="rId15">
        <w:r>
          <w:rPr>
            <w:rStyle w:val="Hyperlink"/>
          </w:rPr>
          <w:t xml:space="preserve">huggingface.co/spaces/openai/whisper</w:t>
        </w:r>
      </w:hyperlink>
      <w:r>
        <w:t xml:space="preserve">. If the page is down, use</w:t>
      </w:r>
      <w:r>
        <w:t xml:space="preserve"> </w:t>
      </w:r>
      <w:hyperlink r:id="rId16">
        <w:r>
          <w:rPr>
            <w:rStyle w:val="Hyperlink"/>
          </w:rPr>
          <w:t xml:space="preserve">whisperweb.app</w:t>
        </w:r>
      </w:hyperlink>
      <w:r>
        <w:t xml:space="preserve"> </w:t>
      </w:r>
      <w:r>
        <w:t xml:space="preserve">instead</w:t>
      </w:r>
    </w:p>
    <w:p>
      <w:pPr>
        <w:pStyle w:val="Compact"/>
        <w:numPr>
          <w:ilvl w:val="0"/>
          <w:numId w:val="1007"/>
        </w:numPr>
      </w:pPr>
      <w:r>
        <w:t xml:space="preserve">Record yourself reading this at a normal pace:</w:t>
      </w:r>
      <w:r>
        <w:t xml:space="preserve"> </w:t>
      </w:r>
      <w:r>
        <w:rPr>
          <w:i/>
          <w:iCs/>
        </w:rPr>
        <w:t xml:space="preserve">“I knew the new knight rode past the night rain. Their heir wore a bare bear.”</w:t>
      </w:r>
    </w:p>
    <w:p>
      <w:pPr>
        <w:pStyle w:val="Compact"/>
        <w:numPr>
          <w:ilvl w:val="0"/>
          <w:numId w:val="1007"/>
        </w:numPr>
      </w:pPr>
      <w:r>
        <w:t xml:space="preserve">Paste the transcript exactly as it came out</w:t>
      </w:r>
    </w:p>
    <w:p>
      <w:pPr>
        <w:pStyle w:val="FirstParagraph"/>
      </w:pPr>
      <w:r>
        <w:rPr>
          <w:b/>
          <w:bCs/>
        </w:rPr>
        <w:t xml:space="preserve">Analysis:</w:t>
      </w:r>
    </w:p>
    <w:p>
      <w:pPr>
        <w:pStyle w:val="Compact"/>
        <w:numPr>
          <w:ilvl w:val="0"/>
          <w:numId w:val="1008"/>
        </w:numPr>
      </w:pPr>
      <w:r>
        <w:t xml:space="preserve">Which homophones came out right and which came out wrong? Quote the exact words</w:t>
      </w:r>
    </w:p>
    <w:p>
      <w:pPr>
        <w:pStyle w:val="Compact"/>
        <w:numPr>
          <w:ilvl w:val="0"/>
          <w:numId w:val="1008"/>
        </w:numPr>
      </w:pPr>
      <w:r>
        <w:t xml:space="preserve">The audio alone cannot tell</w:t>
      </w:r>
      <w:r>
        <w:t xml:space="preserve"> </w:t>
      </w:r>
      <w:r>
        <w:t xml:space="preserve">“knight”</w:t>
      </w:r>
      <w:r>
        <w:t xml:space="preserve"> </w:t>
      </w:r>
      <w:r>
        <w:t xml:space="preserve">from</w:t>
      </w:r>
      <w:r>
        <w:t xml:space="preserve"> </w:t>
      </w:r>
      <w:r>
        <w:t xml:space="preserve">“night”</w:t>
      </w:r>
      <w:r>
        <w:t xml:space="preserve">. What did the model use to decide?</w:t>
      </w:r>
    </w:p>
    <w:p>
      <w:pPr>
        <w:pStyle w:val="Compact"/>
        <w:numPr>
          <w:ilvl w:val="0"/>
          <w:numId w:val="1008"/>
        </w:numPr>
      </w:pPr>
      <w:r>
        <w:t xml:space="preserve">Where it failed, what would a human listener have done differently?</w:t>
      </w:r>
    </w:p>
    <w:p>
      <w:pPr>
        <w:pStyle w:val="Compact"/>
        <w:numPr>
          <w:ilvl w:val="0"/>
          <w:numId w:val="1008"/>
        </w:numPr>
      </w:pPr>
      <w:r>
        <w:t xml:space="preserve">Name one group of speakers this system is likely to serve worse, and say what about the training data would cause it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7"/>
    <w:bookmarkStart w:id="19" w:name="question-5-train-your-own-classifier"/>
    <w:p>
      <w:pPr>
        <w:pStyle w:val="Heading3"/>
      </w:pPr>
      <w:r>
        <w:t xml:space="preserve">Question 5: Train your own classifier</w:t>
      </w:r>
    </w:p>
    <w:p>
      <w:pPr>
        <w:pStyle w:val="Compact"/>
        <w:numPr>
          <w:ilvl w:val="0"/>
          <w:numId w:val="1009"/>
        </w:numPr>
      </w:pPr>
      <w:r>
        <w:t xml:space="preserve">Go to</w:t>
      </w:r>
      <w:r>
        <w:t xml:space="preserve"> </w:t>
      </w:r>
      <w:hyperlink r:id="rId18">
        <w:r>
          <w:rPr>
            <w:rStyle w:val="Hyperlink"/>
          </w:rPr>
          <w:t xml:space="preserve">teachablemachine.withgoogle.com</w:t>
        </w:r>
      </w:hyperlink>
      <w:r>
        <w:t xml:space="preserve">, then</w:t>
      </w:r>
      <w:r>
        <w:t xml:space="preserve"> </w:t>
      </w:r>
      <w:r>
        <w:t xml:space="preserve">“Get Started”</w:t>
      </w:r>
      <w:r>
        <w:t xml:space="preserve"> </w:t>
      </w:r>
      <w:r>
        <w:t xml:space="preserve">→</w:t>
      </w:r>
      <w:r>
        <w:t xml:space="preserve"> </w:t>
      </w:r>
      <w:r>
        <w:t xml:space="preserve">“Image Project”</w:t>
      </w:r>
      <w:r>
        <w:t xml:space="preserve"> </w:t>
      </w:r>
      <w:r>
        <w:t xml:space="preserve">→</w:t>
      </w:r>
      <w:r>
        <w:t xml:space="preserve"> </w:t>
      </w:r>
      <w:r>
        <w:t xml:space="preserve">“Standard”</w:t>
      </w:r>
    </w:p>
    <w:p>
      <w:pPr>
        <w:pStyle w:val="Compact"/>
        <w:numPr>
          <w:ilvl w:val="0"/>
          <w:numId w:val="1009"/>
        </w:numPr>
      </w:pPr>
      <w:r>
        <w:t xml:space="preserve">Create two classes,</w:t>
      </w:r>
      <w:r>
        <w:t xml:space="preserve"> </w:t>
      </w:r>
      <w:r>
        <w:rPr>
          <w:b/>
          <w:bCs/>
        </w:rPr>
        <w:t xml:space="preserve">thumbs up</w:t>
      </w:r>
      <w:r>
        <w:t xml:space="preserve"> </w:t>
      </w:r>
      <w:r>
        <w:t xml:space="preserve">and</w:t>
      </w:r>
      <w:r>
        <w:t xml:space="preserve"> </w:t>
      </w:r>
      <w:r>
        <w:rPr>
          <w:b/>
          <w:bCs/>
        </w:rPr>
        <w:t xml:space="preserve">thumbs down</w:t>
      </w:r>
      <w:r>
        <w:t xml:space="preserve">. Record about 12 examples of each with your webcam</w:t>
      </w:r>
    </w:p>
    <w:p>
      <w:pPr>
        <w:pStyle w:val="Compact"/>
        <w:numPr>
          <w:ilvl w:val="0"/>
          <w:numId w:val="1009"/>
        </w:numPr>
      </w:pPr>
      <w:r>
        <w:t xml:space="preserve">Click</w:t>
      </w:r>
      <w:r>
        <w:t xml:space="preserve"> </w:t>
      </w:r>
      <w:r>
        <w:t xml:space="preserve">“Train Model”</w:t>
      </w:r>
      <w:r>
        <w:t xml:space="preserve">, then test it live. Confirm it works</w:t>
      </w:r>
    </w:p>
    <w:p>
      <w:pPr>
        <w:pStyle w:val="Compact"/>
        <w:numPr>
          <w:ilvl w:val="0"/>
          <w:numId w:val="1009"/>
        </w:numPr>
      </w:pPr>
      <w:r>
        <w:t xml:space="preserve">Now show it something that is neither: your face, a book, or an empty hand. Record what it predicts and how confident it says it is</w:t>
      </w:r>
    </w:p>
    <w:p>
      <w:pPr>
        <w:pStyle w:val="FirstParagraph"/>
      </w:pPr>
      <w:r>
        <w:rPr>
          <w:b/>
          <w:bCs/>
        </w:rPr>
        <w:t xml:space="preserve">Analysis:</w:t>
      </w:r>
    </w:p>
    <w:p>
      <w:pPr>
        <w:pStyle w:val="Compact"/>
        <w:numPr>
          <w:ilvl w:val="0"/>
          <w:numId w:val="1010"/>
        </w:numPr>
      </w:pPr>
      <w:r>
        <w:t xml:space="preserve">The model gave a confident answer for something that belongs to neither class. Why can it not answer</w:t>
      </w:r>
      <w:r>
        <w:t xml:space="preserve"> </w:t>
      </w:r>
      <w:r>
        <w:t xml:space="preserve">“neither”</w:t>
      </w:r>
      <w:r>
        <w:t xml:space="preserve">?</w:t>
      </w:r>
    </w:p>
    <w:p>
      <w:pPr>
        <w:pStyle w:val="Compact"/>
        <w:numPr>
          <w:ilvl w:val="0"/>
          <w:numId w:val="1010"/>
        </w:numPr>
      </w:pPr>
      <w:r>
        <w:t xml:space="preserve">Lecture 03 said classes should be</w:t>
      </w:r>
      <w:r>
        <w:t xml:space="preserve"> </w:t>
      </w:r>
      <w:r>
        <w:rPr>
          <w:b/>
          <w:bCs/>
        </w:rPr>
        <w:t xml:space="preserve">collectively exhaustive</w:t>
      </w:r>
      <w:r>
        <w:t xml:space="preserve">. What third class would you add, and how would you collect examples for it?</w:t>
      </w:r>
    </w:p>
    <w:p>
      <w:pPr>
        <w:pStyle w:val="Compact"/>
        <w:numPr>
          <w:ilvl w:val="0"/>
          <w:numId w:val="1010"/>
        </w:numPr>
      </w:pPr>
      <w:r>
        <w:t xml:space="preserve">Teachable Machine shows a confidence score for each prediction (we did not cover this in class). Does a high score mean the model is probably right? Test it with an object that belongs to neither class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9"/>
    <w:bookmarkStart w:id="20" w:name="bonus-question-where-do-we-draw-the-line"/>
    <w:p>
      <w:pPr>
        <w:pStyle w:val="Heading3"/>
      </w:pPr>
      <w:r>
        <w:t xml:space="preserve">Bonus Question: Where do we draw the line?</w:t>
      </w:r>
    </w:p>
    <w:p>
      <w:pPr>
        <w:pStyle w:val="FirstParagraph"/>
      </w:pPr>
      <w:r>
        <w:t xml:space="preserve">Lecture 07 ended with a question we did not settle. When a model can generate a person’s face, voice and words, what should be required?</w:t>
      </w:r>
    </w:p>
    <w:p>
      <w:pPr>
        <w:pStyle w:val="Compact"/>
        <w:numPr>
          <w:ilvl w:val="0"/>
          <w:numId w:val="1011"/>
        </w:numPr>
      </w:pPr>
      <w:r>
        <w:t xml:space="preserve">Watermarks that cannot be removed</w:t>
      </w:r>
    </w:p>
    <w:p>
      <w:pPr>
        <w:pStyle w:val="Compact"/>
        <w:numPr>
          <w:ilvl w:val="0"/>
          <w:numId w:val="1011"/>
        </w:numPr>
      </w:pPr>
      <w:r>
        <w:t xml:space="preserve">A visible label saying it is AI-made</w:t>
      </w:r>
    </w:p>
    <w:p>
      <w:pPr>
        <w:pStyle w:val="Compact"/>
        <w:numPr>
          <w:ilvl w:val="0"/>
          <w:numId w:val="1011"/>
        </w:numPr>
      </w:pPr>
      <w:r>
        <w:t xml:space="preserve">Consent from the person depicted</w:t>
      </w:r>
    </w:p>
    <w:p>
      <w:pPr>
        <w:pStyle w:val="Compact"/>
        <w:numPr>
          <w:ilvl w:val="0"/>
          <w:numId w:val="1011"/>
        </w:numPr>
      </w:pPr>
      <w:r>
        <w:t xml:space="preserve">Nothing at all</w:t>
      </w:r>
    </w:p>
    <w:p>
      <w:pPr>
        <w:pStyle w:val="FirstParagraph"/>
      </w:pPr>
      <w:r>
        <w:rPr>
          <w:b/>
          <w:bCs/>
        </w:rPr>
        <w:t xml:space="preserve">Your task:</w:t>
      </w:r>
    </w:p>
    <w:p>
      <w:pPr>
        <w:pStyle w:val="Compact"/>
        <w:numPr>
          <w:ilvl w:val="0"/>
          <w:numId w:val="1012"/>
        </w:numPr>
      </w:pPr>
      <w:r>
        <w:t xml:space="preserve">Choose one and defend it. Name what your choice costs</w:t>
      </w:r>
    </w:p>
    <w:p>
      <w:pPr>
        <w:pStyle w:val="Compact"/>
        <w:numPr>
          <w:ilvl w:val="0"/>
          <w:numId w:val="1012"/>
        </w:numPr>
      </w:pPr>
      <w:r>
        <w:t xml:space="preserve">Your rule must work for a satirical cartoon of a politician</w:t>
      </w:r>
      <w:r>
        <w:t xml:space="preserve"> </w:t>
      </w:r>
      <w:r>
        <w:rPr>
          <w:b/>
          <w:bCs/>
        </w:rPr>
        <w:t xml:space="preserve">and</w:t>
      </w:r>
      <w:r>
        <w:t xml:space="preserve"> </w:t>
      </w:r>
      <w:r>
        <w:t xml:space="preserve">for a fake video of a classmate. Explain how it handles both, or admit where it fails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istudio.google.com/" TargetMode="External" /><Relationship Type="http://schemas.openxmlformats.org/officeDocument/2006/relationships/hyperlink" Id="rId11" Target="https://aistudio.google.com/prompts/new_chat?model=gemini-3.1-pro-preview" TargetMode="External" /><Relationship Type="http://schemas.openxmlformats.org/officeDocument/2006/relationships/hyperlink" Id="rId15" Target="https://huggingface.co/spaces/openai/whisper" TargetMode="External" /><Relationship Type="http://schemas.openxmlformats.org/officeDocument/2006/relationships/hyperlink" Id="rId13" Target="https://platform.openai.com/tokenizer" TargetMode="External" /><Relationship Type="http://schemas.openxmlformats.org/officeDocument/2006/relationships/hyperlink" Id="rId18" Target="https://teachablemachine.withgoogle.com/" TargetMode="External" /><Relationship Type="http://schemas.openxmlformats.org/officeDocument/2006/relationships/hyperlink" Id="rId16" Target="https://whisperweb.app/" TargetMode="External" /></Relationships>
</file>

<file path=word/_rels/footnotes.xml.rels><?xml version="1.0" encoding="UTF-8"?><Relationships xmlns="http://schemas.openxmlformats.org/package/2006/relationships"><Relationship Type="http://schemas.openxmlformats.org/officeDocument/2006/relationships/hyperlink" Id="rId10" Target="https://aistudio.google.com/" TargetMode="External" /><Relationship Type="http://schemas.openxmlformats.org/officeDocument/2006/relationships/hyperlink" Id="rId11" Target="https://aistudio.google.com/prompts/new_chat?model=gemini-3.1-pro-preview" TargetMode="External" /><Relationship Type="http://schemas.openxmlformats.org/officeDocument/2006/relationships/hyperlink" Id="rId15" Target="https://huggingface.co/spaces/openai/whisper" TargetMode="External" /><Relationship Type="http://schemas.openxmlformats.org/officeDocument/2006/relationships/hyperlink" Id="rId13" Target="https://platform.openai.com/tokenizer" TargetMode="External" /><Relationship Type="http://schemas.openxmlformats.org/officeDocument/2006/relationships/hyperlink" Id="rId18" Target="https://teachablemachine.withgoogle.com/" TargetMode="External" /><Relationship Type="http://schemas.openxmlformats.org/officeDocument/2006/relationships/hyperlink" Id="rId16" Target="https://whisperweb.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 Language, Tokens and Multimodal AI</dc:title>
  <dc:creator>Emory University</dc:creator>
  <cp:keywords/>
  <dcterms:created xsi:type="dcterms:W3CDTF">2026-09-17T04:47:29Z</dcterms:created>
  <dcterms:modified xsi:type="dcterms:W3CDTF">2026-09-17T04:47:29Z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DATASCI 101: Introduction to AI Applications</vt:lpwstr>
  </property>
  <property fmtid="{D5CDD505-2E9C-101B-9397-08002B2CF9AE}" pid="11" name="toc-title">
    <vt:lpwstr>Table of contents</vt:lpwstr>
  </property>
</Properties>
</file>