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0"/>
      </w:pPr>
      <w:r>
        <w:t xml:space="preserve"/>
      </w:r>
    </w:p>
    <w:p>
      <w:pPr>
        <w:spacing w:before="0" w:after="120"/>
        <w:jc w:val="center"/>
      </w:pPr>
      <w:r>
        <w:rPr>
          <w:rFonts w:ascii="Arial" w:cs="Arial" w:eastAsia="Arial" w:hAnsi="Arial"/>
          <w:b/>
          <w:bCs/>
          <w:color w:val="0D2240"/>
          <w:sz w:val="64"/>
          <w:szCs w:val="64"/>
        </w:rPr>
        <w:t xml:space="preserve">GUIA DE TREINAMENTO DCM</w:t>
      </w:r>
    </w:p>
    <w:p>
      <w:pPr>
        <w:pBdr>
          <w:bottom w:val="single" w:color="B8912A" w:sz="8" w:space="6"/>
        </w:pBdr>
        <w:spacing w:before="0" w:after="80"/>
        <w:jc w:val="center"/>
      </w:pPr>
      <w:r>
        <w:rPr>
          <w:rFonts w:ascii="Arial" w:cs="Arial" w:eastAsia="Arial" w:hAnsi="Arial"/>
          <w:color w:val="B8912A"/>
          <w:sz w:val="40"/>
          <w:szCs w:val="40"/>
        </w:rPr>
        <w:t xml:space="preserve">Mercado Internacional de Dívida de Capitais</w:t>
      </w:r>
    </w:p>
    <w:p>
      <w:pPr>
        <w:spacing w:before="200" w:after="200"/>
      </w:pPr>
      <w:r>
        <w:t xml:space="preserve"/>
      </w:r>
    </w:p>
    <w:p>
      <w:pPr>
        <w:spacing w:before="0" w:after="200"/>
        <w:jc w:val="center"/>
      </w:pPr>
      <w:r>
        <w:rPr>
          <w:rFonts w:ascii="Arial" w:cs="Arial" w:eastAsia="Arial" w:hAnsi="Arial"/>
          <w:i/>
          <w:iCs/>
          <w:color w:val="5A5A5A"/>
          <w:sz w:val="26"/>
          <w:szCs w:val="26"/>
        </w:rPr>
        <w:t xml:space="preserve">Estratégias de Acesso ao Mercado para Emissores Corporativos Emergentes</w:t>
      </w:r>
    </w:p>
    <w:p>
      <w:pPr>
        <w:spacing w:before="200" w:after="20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Borders>
              <w:top w:val="none" w:color="FFFFFF" w:sz="0"/>
              <w:left w:val="none" w:color="FFFFFF" w:sz="0"/>
              <w:bottom w:val="none" w:color="FFFFFF" w:sz="0"/>
              <w:right w:val="none" w:color="FFFFFF" w:sz="0"/>
            </w:tcBorders>
            <w:shd w:fill="0D2240" w:val="clear"/>
            <w:tcMar>
              <w:top w:type="dxa" w:w="200"/>
              <w:left w:type="dxa" w:w="300"/>
              <w:bottom w:type="dxa" w:w="200"/>
              <w:right w:type="dxa" w:w="300"/>
            </w:tcMar>
          </w:tcPr>
          <w:p>
            <w:pPr>
              <w:jc w:val="center"/>
            </w:pPr>
            <w:r>
              <w:rPr>
                <w:rFonts w:ascii="Arial" w:cs="Arial" w:eastAsia="Arial" w:hAnsi="Arial"/>
                <w:i/>
                <w:iCs/>
                <w:color w:val="FFFFFF"/>
                <w:sz w:val="22"/>
                <w:szCs w:val="22"/>
              </w:rPr>
              <w:t xml:space="preserve">Baseado no material de assessoria da BCP Securities</w:t>
            </w:r>
          </w:p>
          <w:p>
            <w:pPr>
              <w:spacing w:before="80"/>
              <w:jc w:val="center"/>
            </w:pPr>
            <w:r>
              <w:rPr>
                <w:rFonts w:ascii="Arial" w:cs="Arial" w:eastAsia="Arial" w:hAnsi="Arial"/>
                <w:b/>
                <w:bCs/>
                <w:color w:val="B8912A"/>
                <w:sz w:val="22"/>
                <w:szCs w:val="22"/>
              </w:rPr>
              <w:t xml:space="preserve">Grupo JBJ — Fevereiro 2026</w:t>
            </w:r>
          </w:p>
        </w:tc>
      </w:tr>
    </w:tbl>
    <w:p>
      <w:pPr>
        <w:spacing w:before="400" w:after="400"/>
      </w:pPr>
      <w:r>
        <w:t xml:space="preserve"/>
      </w:r>
    </w:p>
    <w:p>
      <w:pPr>
        <w:jc w:val="center"/>
      </w:pPr>
      <w:r>
        <w:rPr>
          <w:rFonts w:ascii="Arial" w:cs="Arial" w:eastAsia="Arial" w:hAnsi="Arial"/>
          <w:color w:val="5A5A5A"/>
          <w:sz w:val="20"/>
          <w:szCs w:val="20"/>
        </w:rPr>
        <w:t xml:space="preserve">Elaborado para uso exclusivo da equipe de DCM  </w:t>
      </w:r>
      <w:r>
        <w:rPr>
          <w:rFonts w:ascii="Arial" w:cs="Arial" w:eastAsia="Arial" w:hAnsi="Arial"/>
          <w:b/>
          <w:bCs/>
          <w:color w:val="5A5A5A"/>
          <w:sz w:val="20"/>
          <w:szCs w:val="20"/>
        </w:rPr>
        <w:t xml:space="preserve">| Fevereiro 2026</w:t>
      </w:r>
    </w:p>
    <w:p>
      <w:r>
        <w:br w:type="page"/>
      </w:r>
    </w:p>
    <w:p>
      <w:pPr>
        <w:pStyle w:val="Heading1"/>
        <w:spacing w:before="480" w:after="200"/>
      </w:pPr>
      <w:r>
        <w:rPr>
          <w:rFonts w:ascii="Arial" w:cs="Arial" w:eastAsia="Arial" w:hAnsi="Arial"/>
          <w:b/>
          <w:bCs/>
          <w:color w:val="0D2240"/>
          <w:sz w:val="36"/>
          <w:szCs w:val="36"/>
        </w:rPr>
        <w:t xml:space="preserve">Nota da Autora</w:t>
      </w:r>
    </w:p>
    <w:p>
      <w:pPr>
        <w:pBdr>
          <w:bottom w:val="single" w:color="B8912A" w:sz="6" w:space="1"/>
        </w:pBdr>
        <w:spacing w:before="80" w:after="80"/>
      </w:pPr>
      <w:r>
        <w:t xml:space="preserve"/>
      </w:r>
    </w:p>
    <w:p>
      <w:pPr>
        <w:spacing w:before="80" w:after="80"/>
      </w:pPr>
      <w:r>
        <w:t xml:space="preserve"/>
      </w:r>
    </w:p>
    <w:p>
      <w:pPr>
        <w:spacing w:before="80" w:after="80"/>
        <w:jc w:val="both"/>
      </w:pPr>
      <w:r>
        <w:rPr>
          <w:rFonts w:ascii="Arial" w:cs="Arial" w:eastAsia="Arial" w:hAnsi="Arial"/>
          <w:color w:val="1A1A1A"/>
          <w:sz w:val="22"/>
          <w:szCs w:val="22"/>
        </w:rPr>
        <w:t xml:space="preserve">Caros colegas,</w:t>
      </w:r>
    </w:p>
    <w:p>
      <w:pPr>
        <w:spacing w:before="40" w:after="40"/>
      </w:pPr>
      <w:r>
        <w:t xml:space="preserve"/>
      </w:r>
    </w:p>
    <w:p>
      <w:pPr>
        <w:spacing w:before="80" w:after="80"/>
        <w:jc w:val="both"/>
      </w:pPr>
      <w:r>
        <w:rPr>
          <w:rFonts w:ascii="Arial" w:cs="Arial" w:eastAsia="Arial" w:hAnsi="Arial"/>
          <w:color w:val="1A1A1A"/>
          <w:sz w:val="22"/>
          <w:szCs w:val="22"/>
        </w:rPr>
        <w:t xml:space="preserve">Ao longo de mais de duas décadas estruturando operações de dívida nos mercados emergentes — de São Paulo a Nova York, de Lagos a Kuala Lumpur — aprendi que o maior obstáculo para um profissional de DCM não é a complexidade técnica dos instrumentos, mas a ausência de um mapa claro que conecte teoria e prática.</w:t>
      </w:r>
    </w:p>
    <w:p>
      <w:pPr>
        <w:spacing w:before="40" w:after="40"/>
      </w:pPr>
      <w:r>
        <w:t xml:space="preserve"/>
      </w:r>
    </w:p>
    <w:p>
      <w:pPr>
        <w:spacing w:before="80" w:after="80"/>
        <w:jc w:val="both"/>
      </w:pPr>
      <w:r>
        <w:rPr>
          <w:rFonts w:ascii="Arial" w:cs="Arial" w:eastAsia="Arial" w:hAnsi="Arial"/>
          <w:color w:val="1A1A1A"/>
          <w:sz w:val="22"/>
          <w:szCs w:val="22"/>
        </w:rPr>
        <w:t xml:space="preserve">Este guia foi criado com um propósito específico: equipar você para assessorar emissores corporativos de mercados emergentes que estão dando seus primeiros passos no mercado internacional de dívida. O caso do Grupo JBJ é exemplar — uma empresa agropecuária brasileira sólida, com fundamentos financeiros diferenciados, que precisa estruturar sua entrada no mercado externo de forma inteligente, sequencial e sustentável.</w:t>
      </w:r>
    </w:p>
    <w:p>
      <w:pPr>
        <w:spacing w:before="40" w:after="40"/>
      </w:pPr>
      <w:r>
        <w:t xml:space="preserve"/>
      </w:r>
    </w:p>
    <w:p>
      <w:pPr>
        <w:spacing w:before="80" w:after="80"/>
        <w:jc w:val="both"/>
      </w:pPr>
      <w:r>
        <w:rPr>
          <w:rFonts w:ascii="Arial" w:cs="Arial" w:eastAsia="Arial" w:hAnsi="Arial"/>
          <w:color w:val="1A1A1A"/>
          <w:sz w:val="22"/>
          <w:szCs w:val="22"/>
        </w:rPr>
        <w:t xml:space="preserve">Neste material você encontrará:</w:t>
      </w:r>
    </w:p>
    <w:p>
      <w:pPr>
        <w:spacing w:before="40" w:after="40"/>
      </w:pPr>
      <w:r>
        <w:t xml:space="preserve"/>
      </w:r>
    </w:p>
    <w:p>
      <w:pPr>
        <w:pStyle w:val="ListParagraph"/>
        <w:numPr>
          <w:ilvl w:val="0"/>
          <w:numId w:val="2"/>
        </w:numPr>
        <w:spacing w:before="60" w:after="60"/>
      </w:pPr>
      <w:r>
        <w:rPr>
          <w:rFonts w:ascii="Arial" w:cs="Arial" w:eastAsia="Arial" w:hAnsi="Arial"/>
          <w:sz w:val="22"/>
          <w:szCs w:val="22"/>
        </w:rPr>
        <w:t xml:space="preserve">A lógica por trás de cada instrumento de dívida internacional</w:t>
      </w:r>
    </w:p>
    <w:p>
      <w:pPr>
        <w:pStyle w:val="ListParagraph"/>
        <w:numPr>
          <w:ilvl w:val="0"/>
          <w:numId w:val="2"/>
        </w:numPr>
        <w:spacing w:before="60" w:after="60"/>
      </w:pPr>
      <w:r>
        <w:rPr>
          <w:rFonts w:ascii="Arial" w:cs="Arial" w:eastAsia="Arial" w:hAnsi="Arial"/>
          <w:sz w:val="22"/>
          <w:szCs w:val="22"/>
        </w:rPr>
        <w:t xml:space="preserve">Os critérios de decisão entre formatos regulatórios (Reg S vs. 144A)</w:t>
      </w:r>
    </w:p>
    <w:p>
      <w:pPr>
        <w:pStyle w:val="ListParagraph"/>
        <w:numPr>
          <w:ilvl w:val="0"/>
          <w:numId w:val="2"/>
        </w:numPr>
        <w:spacing w:before="60" w:after="60"/>
      </w:pPr>
      <w:r>
        <w:rPr>
          <w:rFonts w:ascii="Arial" w:cs="Arial" w:eastAsia="Arial" w:hAnsi="Arial"/>
          <w:sz w:val="22"/>
          <w:szCs w:val="22"/>
        </w:rPr>
        <w:t xml:space="preserve">A diferença prática entre programas (ECP e EMTN) e emissões standalone</w:t>
      </w:r>
    </w:p>
    <w:p>
      <w:pPr>
        <w:pStyle w:val="ListParagraph"/>
        <w:numPr>
          <w:ilvl w:val="0"/>
          <w:numId w:val="2"/>
        </w:numPr>
        <w:spacing w:before="60" w:after="60"/>
      </w:pPr>
      <w:r>
        <w:rPr>
          <w:rFonts w:ascii="Arial" w:cs="Arial" w:eastAsia="Arial" w:hAnsi="Arial"/>
          <w:sz w:val="22"/>
          <w:szCs w:val="22"/>
        </w:rPr>
        <w:t xml:space="preserve">O racional para uma estratégia faseada de acesso ao mercado</w:t>
      </w:r>
    </w:p>
    <w:p>
      <w:pPr>
        <w:pStyle w:val="ListParagraph"/>
        <w:numPr>
          <w:ilvl w:val="0"/>
          <w:numId w:val="2"/>
        </w:numPr>
        <w:spacing w:before="60" w:after="60"/>
      </w:pPr>
      <w:r>
        <w:rPr>
          <w:rFonts w:ascii="Arial" w:cs="Arial" w:eastAsia="Arial" w:hAnsi="Arial"/>
          <w:sz w:val="22"/>
          <w:szCs w:val="22"/>
        </w:rPr>
        <w:t xml:space="preserve">Comparativos setoriais e benchmarks de precificação</w:t>
      </w:r>
    </w:p>
    <w:p>
      <w:pPr>
        <w:spacing w:before="60" w:after="60"/>
      </w:pPr>
      <w:r>
        <w:t xml:space="preserve"/>
      </w:r>
    </w:p>
    <w:p>
      <w:pPr>
        <w:spacing w:before="80" w:after="80"/>
        <w:jc w:val="both"/>
      </w:pPr>
      <w:r>
        <w:rPr>
          <w:rFonts w:ascii="Arial" w:cs="Arial" w:eastAsia="Arial" w:hAnsi="Arial"/>
          <w:color w:val="1A1A1A"/>
          <w:sz w:val="22"/>
          <w:szCs w:val="22"/>
        </w:rPr>
        <w:t xml:space="preserve">Leia este guia como se estivesse sentado à minha frente em uma sala de reuniões do Goldman Sachs, às vésperas de uma apresentação para o board do cliente. Cada palavra aqui foi escolhida para que você consiga, ao final, tanto responder às perguntas mais técnicas quanto contar a história certa para o investidor certo, na hora certa.</w:t>
      </w:r>
    </w:p>
    <w:p>
      <w:pPr>
        <w:spacing w:before="40" w:after="40"/>
      </w:pPr>
      <w:r>
        <w:t xml:space="preserve"/>
      </w:r>
    </w:p>
    <w:p>
      <w:pPr>
        <w:spacing w:before="80" w:after="80"/>
        <w:jc w:val="both"/>
      </w:pPr>
      <w:r>
        <w:rPr>
          <w:rFonts w:ascii="Arial" w:cs="Arial" w:eastAsia="Arial" w:hAnsi="Arial"/>
          <w:color w:val="1A1A1A"/>
          <w:sz w:val="22"/>
          <w:szCs w:val="22"/>
        </w:rPr>
        <w:t xml:space="preserve">Bem-vindo ao DCM internacional.</w:t>
      </w:r>
    </w:p>
    <w:p>
      <w:pPr>
        <w:spacing w:before="120" w:after="120"/>
      </w:pPr>
      <w:r>
        <w:t xml:space="preserve"/>
      </w:r>
    </w:p>
    <w:p>
      <w:pPr>
        <w:spacing w:before="40"/>
      </w:pPr>
      <w:r>
        <w:rPr>
          <w:rFonts w:ascii="Arial" w:cs="Arial" w:eastAsia="Arial" w:hAnsi="Arial"/>
          <w:i/>
          <w:iCs/>
          <w:color w:val="5A5A5A"/>
          <w:sz w:val="22"/>
          <w:szCs w:val="22"/>
        </w:rPr>
        <w:t xml:space="preserve">Managing Director, Debt Capital Markets</w:t>
      </w:r>
    </w:p>
    <w:p>
      <w:r>
        <w:br w:type="page"/>
      </w:r>
    </w:p>
    <w:p>
      <w:pPr>
        <w:pStyle w:val="Heading1"/>
        <w:spacing w:before="480" w:after="200"/>
      </w:pPr>
      <w:r>
        <w:rPr>
          <w:rFonts w:ascii="Arial" w:cs="Arial" w:eastAsia="Arial" w:hAnsi="Arial"/>
          <w:b/>
          <w:bCs/>
          <w:color w:val="0D2240"/>
          <w:sz w:val="36"/>
          <w:szCs w:val="36"/>
        </w:rPr>
        <w:t xml:space="preserve">Sumário</w:t>
      </w:r>
    </w:p>
    <w:p>
      <w:pPr>
        <w:pBdr>
          <w:bottom w:val="single" w:color="B8912A" w:sz="6" w:space="1"/>
        </w:pBdr>
        <w:spacing w:before="80" w:after="80"/>
      </w:pPr>
      <w:r>
        <w:t xml:space="preserve"/>
      </w:r>
    </w:p>
    <w:p>
      <w:pPr>
        <w:spacing w:before="80" w:after="80"/>
      </w:pPr>
      <w:r>
        <w:t xml:space="preserve"/>
      </w:r>
    </w:p>
    <w:p>
      <w:pPr>
        <w:spacing w:before="100" w:after="60"/>
      </w:pPr>
      <w:r>
        <w:rPr>
          <w:rFonts w:ascii="Arial" w:cs="Arial" w:eastAsia="Arial" w:hAnsi="Arial"/>
          <w:b/>
          <w:bCs/>
          <w:color w:val="0D2240"/>
          <w:sz w:val="22"/>
          <w:szCs w:val="22"/>
        </w:rPr>
        <w:t xml:space="preserve">1. Fundamentos do Mercado Internacional de Dívida</w:t>
      </w:r>
      <w:r>
        <w:rPr>
          <w:rFonts w:ascii="Arial" w:cs="Arial" w:eastAsia="Arial" w:hAnsi="Arial"/>
          <w:i/>
          <w:iCs/>
          <w:color w:val="5A5A5A"/>
          <w:sz w:val="20"/>
          <w:szCs w:val="20"/>
        </w:rPr>
        <w:t xml:space="preserve">  —  Por que acessar o mercado externo? O ecossistema de emissão.</w:t>
      </w:r>
    </w:p>
    <w:p>
      <w:pPr>
        <w:spacing w:before="100" w:after="60"/>
      </w:pPr>
      <w:r>
        <w:rPr>
          <w:rFonts w:ascii="Arial" w:cs="Arial" w:eastAsia="Arial" w:hAnsi="Arial"/>
          <w:b/>
          <w:bCs/>
          <w:color w:val="0D2240"/>
          <w:sz w:val="22"/>
          <w:szCs w:val="22"/>
        </w:rPr>
        <w:t xml:space="preserve">2. As Duas Estratégias de Entrada no Mercado</w:t>
      </w:r>
      <w:r>
        <w:rPr>
          <w:rFonts w:ascii="Arial" w:cs="Arial" w:eastAsia="Arial" w:hAnsi="Arial"/>
          <w:i/>
          <w:iCs/>
          <w:color w:val="5A5A5A"/>
          <w:sz w:val="20"/>
          <w:szCs w:val="20"/>
        </w:rPr>
        <w:t xml:space="preserve">  —  Benchmark vs. Programático — racional e aplicação.</w:t>
      </w:r>
    </w:p>
    <w:p>
      <w:pPr>
        <w:spacing w:before="100" w:after="60"/>
      </w:pPr>
      <w:r>
        <w:rPr>
          <w:rFonts w:ascii="Arial" w:cs="Arial" w:eastAsia="Arial" w:hAnsi="Arial"/>
          <w:b/>
          <w:bCs/>
          <w:color w:val="0D2240"/>
          <w:sz w:val="22"/>
          <w:szCs w:val="22"/>
        </w:rPr>
        <w:t xml:space="preserve">3. A Estratégia Faseada: Três Fases de Crescimento</w:t>
      </w:r>
      <w:r>
        <w:rPr>
          <w:rFonts w:ascii="Arial" w:cs="Arial" w:eastAsia="Arial" w:hAnsi="Arial"/>
          <w:i/>
          <w:iCs/>
          <w:color w:val="5A5A5A"/>
          <w:sz w:val="20"/>
          <w:szCs w:val="20"/>
        </w:rPr>
        <w:t xml:space="preserve">  —  Fase 1 (ECP), Fase 2 (MTN/EMTN), Fase 3 (Benchmark Bond).</w:t>
      </w:r>
    </w:p>
    <w:p>
      <w:pPr>
        <w:spacing w:before="100" w:after="60"/>
      </w:pPr>
      <w:r>
        <w:rPr>
          <w:rFonts w:ascii="Arial" w:cs="Arial" w:eastAsia="Arial" w:hAnsi="Arial"/>
          <w:b/>
          <w:bCs/>
          <w:color w:val="0D2240"/>
          <w:sz w:val="22"/>
          <w:szCs w:val="22"/>
        </w:rPr>
        <w:t xml:space="preserve">4. Reg S vs. Rule 144A</w:t>
      </w:r>
      <w:r>
        <w:rPr>
          <w:rFonts w:ascii="Arial" w:cs="Arial" w:eastAsia="Arial" w:hAnsi="Arial"/>
          <w:i/>
          <w:iCs/>
          <w:color w:val="5A5A5A"/>
          <w:sz w:val="20"/>
          <w:szCs w:val="20"/>
        </w:rPr>
        <w:t xml:space="preserve">  —  Diferenças regulatórias, público-alvo, custos e timelines.</w:t>
      </w:r>
    </w:p>
    <w:p>
      <w:pPr>
        <w:spacing w:before="100" w:after="60"/>
      </w:pPr>
      <w:r>
        <w:rPr>
          <w:rFonts w:ascii="Arial" w:cs="Arial" w:eastAsia="Arial" w:hAnsi="Arial"/>
          <w:b/>
          <w:bCs/>
          <w:color w:val="0D2240"/>
          <w:sz w:val="22"/>
          <w:szCs w:val="22"/>
        </w:rPr>
        <w:t xml:space="preserve">5. Standalone vs. Programa (ECP e EMTN)</w:t>
      </w:r>
      <w:r>
        <w:rPr>
          <w:rFonts w:ascii="Arial" w:cs="Arial" w:eastAsia="Arial" w:hAnsi="Arial"/>
          <w:i/>
          <w:iCs/>
          <w:color w:val="5A5A5A"/>
          <w:sz w:val="20"/>
          <w:szCs w:val="20"/>
        </w:rPr>
        <w:t xml:space="preserve">  —  Quando usar cada estrutura. Custos, flexibilidade e timing.</w:t>
      </w:r>
    </w:p>
    <w:p>
      <w:pPr>
        <w:spacing w:before="100" w:after="60"/>
      </w:pPr>
      <w:r>
        <w:rPr>
          <w:rFonts w:ascii="Arial" w:cs="Arial" w:eastAsia="Arial" w:hAnsi="Arial"/>
          <w:b/>
          <w:bCs/>
          <w:color w:val="0D2240"/>
          <w:sz w:val="22"/>
          <w:szCs w:val="22"/>
        </w:rPr>
        <w:t xml:space="preserve">6. O Roadshow Não-Negocial (NDR)</w:t>
      </w:r>
      <w:r>
        <w:rPr>
          <w:rFonts w:ascii="Arial" w:cs="Arial" w:eastAsia="Arial" w:hAnsi="Arial"/>
          <w:i/>
          <w:iCs/>
          <w:color w:val="5A5A5A"/>
          <w:sz w:val="20"/>
          <w:szCs w:val="20"/>
        </w:rPr>
        <w:t xml:space="preserve">  —  Preparação de mercado antes da primeira emissão.</w:t>
      </w:r>
    </w:p>
    <w:p>
      <w:pPr>
        <w:spacing w:before="100" w:after="60"/>
      </w:pPr>
      <w:r>
        <w:rPr>
          <w:rFonts w:ascii="Arial" w:cs="Arial" w:eastAsia="Arial" w:hAnsi="Arial"/>
          <w:b/>
          <w:bCs/>
          <w:color w:val="0D2240"/>
          <w:sz w:val="22"/>
          <w:szCs w:val="22"/>
        </w:rPr>
        <w:t xml:space="preserve">7. Condições Indicativas para o Grupo JBJ</w:t>
      </w:r>
      <w:r>
        <w:rPr>
          <w:rFonts w:ascii="Arial" w:cs="Arial" w:eastAsia="Arial" w:hAnsi="Arial"/>
          <w:i/>
          <w:iCs/>
          <w:color w:val="5A5A5A"/>
          <w:sz w:val="20"/>
          <w:szCs w:val="20"/>
        </w:rPr>
        <w:t xml:space="preserve">  —  Termos e condições por tipo de instrumento.</w:t>
      </w:r>
    </w:p>
    <w:p>
      <w:pPr>
        <w:spacing w:before="100" w:after="60"/>
      </w:pPr>
      <w:r>
        <w:rPr>
          <w:rFonts w:ascii="Arial" w:cs="Arial" w:eastAsia="Arial" w:hAnsi="Arial"/>
          <w:b/>
          <w:bCs/>
          <w:color w:val="0D2240"/>
          <w:sz w:val="22"/>
          <w:szCs w:val="22"/>
        </w:rPr>
        <w:t xml:space="preserve">8. Análise de Peers: O Setor Proteína no Mercado Internacional</w:t>
      </w:r>
      <w:r>
        <w:rPr>
          <w:rFonts w:ascii="Arial" w:cs="Arial" w:eastAsia="Arial" w:hAnsi="Arial"/>
          <w:i/>
          <w:iCs/>
          <w:color w:val="5A5A5A"/>
          <w:sz w:val="20"/>
          <w:szCs w:val="20"/>
        </w:rPr>
        <w:t xml:space="preserve">  —  Comparativos de yield, duration e z-spread.</w:t>
      </w:r>
    </w:p>
    <w:p>
      <w:pPr>
        <w:spacing w:before="100" w:after="60"/>
      </w:pPr>
      <w:r>
        <w:rPr>
          <w:rFonts w:ascii="Arial" w:cs="Arial" w:eastAsia="Arial" w:hAnsi="Arial"/>
          <w:b/>
          <w:bCs/>
          <w:color w:val="0D2240"/>
          <w:sz w:val="22"/>
          <w:szCs w:val="22"/>
        </w:rPr>
        <w:t xml:space="preserve">9. Análise Financeira Comparativa</w:t>
      </w:r>
      <w:r>
        <w:rPr>
          <w:rFonts w:ascii="Arial" w:cs="Arial" w:eastAsia="Arial" w:hAnsi="Arial"/>
          <w:i/>
          <w:iCs/>
          <w:color w:val="5A5A5A"/>
          <w:sz w:val="20"/>
          <w:szCs w:val="20"/>
        </w:rPr>
        <w:t xml:space="preserve">  —  Posicionamento do JBJ versus o setor.</w:t>
      </w:r>
    </w:p>
    <w:p>
      <w:pPr>
        <w:spacing w:before="100" w:after="60"/>
      </w:pPr>
      <w:r>
        <w:rPr>
          <w:rFonts w:ascii="Arial" w:cs="Arial" w:eastAsia="Arial" w:hAnsi="Arial"/>
          <w:b/>
          <w:bCs/>
          <w:color w:val="0D2240"/>
          <w:sz w:val="22"/>
          <w:szCs w:val="22"/>
        </w:rPr>
        <w:t xml:space="preserve">10. Transações Recentes do Brasil no Mercado Internacional</w:t>
      </w:r>
      <w:r>
        <w:rPr>
          <w:rFonts w:ascii="Arial" w:cs="Arial" w:eastAsia="Arial" w:hAnsi="Arial"/>
          <w:i/>
          <w:iCs/>
          <w:color w:val="5A5A5A"/>
          <w:sz w:val="20"/>
          <w:szCs w:val="20"/>
        </w:rPr>
        <w:t xml:space="preserve">  —  Novos papéis emitidos em 2026.</w:t>
      </w:r>
    </w:p>
    <w:p>
      <w:pPr>
        <w:spacing w:before="100" w:after="60"/>
      </w:pPr>
      <w:r>
        <w:rPr>
          <w:rFonts w:ascii="Arial" w:cs="Arial" w:eastAsia="Arial" w:hAnsi="Arial"/>
          <w:b/>
          <w:bCs/>
          <w:color w:val="0D2240"/>
          <w:sz w:val="22"/>
          <w:szCs w:val="22"/>
        </w:rPr>
        <w:t xml:space="preserve">11. Glossário Técnico de DCM</w:t>
      </w:r>
      <w:r>
        <w:rPr>
          <w:rFonts w:ascii="Arial" w:cs="Arial" w:eastAsia="Arial" w:hAnsi="Arial"/>
          <w:i/>
          <w:iCs/>
          <w:color w:val="5A5A5A"/>
          <w:sz w:val="20"/>
          <w:szCs w:val="20"/>
        </w:rPr>
        <w:t xml:space="preserve">  —  Terminologia essencial para o dia a dia.</w:t>
      </w:r>
    </w:p>
    <w:p>
      <w:pPr>
        <w:spacing w:before="100" w:after="60"/>
      </w:pPr>
      <w:r>
        <w:rPr>
          <w:rFonts w:ascii="Arial" w:cs="Arial" w:eastAsia="Arial" w:hAnsi="Arial"/>
          <w:b/>
          <w:bCs/>
          <w:color w:val="0D2240"/>
          <w:sz w:val="22"/>
          <w:szCs w:val="22"/>
        </w:rPr>
        <w:t xml:space="preserve">12. Exercícios Práticos e Casos de Uso</w:t>
      </w:r>
      <w:r>
        <w:rPr>
          <w:rFonts w:ascii="Arial" w:cs="Arial" w:eastAsia="Arial" w:hAnsi="Arial"/>
          <w:i/>
          <w:iCs/>
          <w:color w:val="5A5A5A"/>
          <w:sz w:val="20"/>
          <w:szCs w:val="20"/>
        </w:rPr>
        <w:t xml:space="preserve">  —  Simulações e perguntas de treinamento.</w:t>
      </w:r>
    </w:p>
    <w:p>
      <w:r>
        <w:br w:type="page"/>
      </w:r>
    </w:p>
    <w:p>
      <w:pPr>
        <w:pStyle w:val="Heading1"/>
        <w:spacing w:before="480" w:after="200"/>
      </w:pPr>
      <w:r>
        <w:rPr>
          <w:rFonts w:ascii="Arial" w:cs="Arial" w:eastAsia="Arial" w:hAnsi="Arial"/>
          <w:b/>
          <w:bCs/>
          <w:color w:val="0D2240"/>
          <w:sz w:val="36"/>
          <w:szCs w:val="36"/>
        </w:rPr>
        <w:t xml:space="preserve">Capítulo 1</w:t>
      </w:r>
    </w:p>
    <w:p>
      <w:pPr>
        <w:pBdr>
          <w:bottom w:val="single" w:color="B8912A" w:sz="4" w:space="4"/>
        </w:pBdr>
        <w:spacing w:before="360" w:after="120"/>
      </w:pPr>
      <w:r>
        <w:rPr>
          <w:rFonts w:ascii="Arial" w:cs="Arial" w:eastAsia="Arial" w:hAnsi="Arial"/>
          <w:b/>
          <w:bCs/>
          <w:color w:val="0D2240"/>
          <w:sz w:val="36"/>
          <w:szCs w:val="36"/>
        </w:rPr>
        <w:t xml:space="preserve">Fundamentos do Mercado Internacional de Dívida</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1.1 Por que acessar o mercado externo?</w:t>
      </w:r>
    </w:p>
    <w:p>
      <w:pPr>
        <w:spacing w:before="80" w:after="80"/>
        <w:jc w:val="both"/>
      </w:pPr>
      <w:r>
        <w:rPr>
          <w:rFonts w:ascii="Arial" w:cs="Arial" w:eastAsia="Arial" w:hAnsi="Arial"/>
          <w:color w:val="1A1A1A"/>
          <w:sz w:val="22"/>
          <w:szCs w:val="22"/>
        </w:rPr>
        <w:t xml:space="preserve">O mercado doméstico de dívida no Brasil — apesar de robusto e diversificado — apresenta limitações estruturais que, em determinados momentos do ciclo econômico, tornam o acesso ao mercado internacional não apenas atrativo, mas estrategicamente necessário. Entre as principais razões:</w:t>
      </w:r>
    </w:p>
    <w:p>
      <w:pPr>
        <w:spacing w:before="60" w:after="60"/>
      </w:pPr>
      <w:r>
        <w:t xml:space="preserve"/>
      </w:r>
    </w:p>
    <w:p>
      <w:pPr>
        <w:pStyle w:val="ListParagraph"/>
        <w:numPr>
          <w:ilvl w:val="0"/>
          <w:numId w:val="2"/>
        </w:numPr>
        <w:spacing w:before="60" w:after="60"/>
      </w:pPr>
      <w:r>
        <w:rPr>
          <w:rFonts w:ascii="Arial" w:cs="Arial" w:eastAsia="Arial" w:hAnsi="Arial"/>
          <w:b/>
          <w:bCs/>
          <w:color w:val="0D2240"/>
          <w:sz w:val="22"/>
          <w:szCs w:val="22"/>
        </w:rPr>
        <w:t xml:space="preserve">Custo de capital: </w:t>
      </w:r>
      <w:r>
        <w:rPr>
          <w:rFonts w:ascii="Arial" w:cs="Arial" w:eastAsia="Arial" w:hAnsi="Arial"/>
          <w:sz w:val="22"/>
          <w:szCs w:val="22"/>
        </w:rPr>
        <w:t xml:space="preserve">Empresas com receitas em dólar ou euro podem captar a taxas significativamente menores em moeda estrangeira, criando uma proteção natural (hedge) entre ativo e passivo.</w:t>
      </w:r>
    </w:p>
    <w:p>
      <w:pPr>
        <w:pStyle w:val="ListParagraph"/>
        <w:numPr>
          <w:ilvl w:val="0"/>
          <w:numId w:val="2"/>
        </w:numPr>
        <w:spacing w:before="60" w:after="60"/>
      </w:pPr>
      <w:r>
        <w:rPr>
          <w:rFonts w:ascii="Arial" w:cs="Arial" w:eastAsia="Arial" w:hAnsi="Arial"/>
          <w:b/>
          <w:bCs/>
          <w:color w:val="0D2240"/>
          <w:sz w:val="22"/>
          <w:szCs w:val="22"/>
        </w:rPr>
        <w:t xml:space="preserve">Diversificação de fontes: </w:t>
      </w:r>
      <w:r>
        <w:rPr>
          <w:rFonts w:ascii="Arial" w:cs="Arial" w:eastAsia="Arial" w:hAnsi="Arial"/>
          <w:sz w:val="22"/>
          <w:szCs w:val="22"/>
        </w:rPr>
        <w:t xml:space="preserve">Dependência excessiva de bancos locais expõe a empresa a riscos de concentração — linhas de crédito podem ser revogadas, limites podem ser atingidos, colaterais podem ser exigidos.</w:t>
      </w:r>
    </w:p>
    <w:p>
      <w:pPr>
        <w:pStyle w:val="ListParagraph"/>
        <w:numPr>
          <w:ilvl w:val="0"/>
          <w:numId w:val="2"/>
        </w:numPr>
        <w:spacing w:before="60" w:after="60"/>
      </w:pPr>
      <w:r>
        <w:rPr>
          <w:rFonts w:ascii="Arial" w:cs="Arial" w:eastAsia="Arial" w:hAnsi="Arial"/>
          <w:b/>
          <w:bCs/>
          <w:color w:val="0D2240"/>
          <w:sz w:val="22"/>
          <w:szCs w:val="22"/>
        </w:rPr>
        <w:t xml:space="preserve">Ampliação do volume disponível: </w:t>
      </w:r>
      <w:r>
        <w:rPr>
          <w:rFonts w:ascii="Arial" w:cs="Arial" w:eastAsia="Arial" w:hAnsi="Arial"/>
          <w:sz w:val="22"/>
          <w:szCs w:val="22"/>
        </w:rPr>
        <w:t xml:space="preserve">O mercado de capitais internacional, em especial o mercado de Eurobonds, movimenta trilhões de dólares anualmente, oferecendo capacidade de absorção muito superior ao mercado doméstico.</w:t>
      </w:r>
    </w:p>
    <w:p>
      <w:pPr>
        <w:pStyle w:val="ListParagraph"/>
        <w:numPr>
          <w:ilvl w:val="0"/>
          <w:numId w:val="2"/>
        </w:numPr>
        <w:spacing w:before="60" w:after="60"/>
      </w:pPr>
      <w:r>
        <w:rPr>
          <w:rFonts w:ascii="Arial" w:cs="Arial" w:eastAsia="Arial" w:hAnsi="Arial"/>
          <w:b/>
          <w:bCs/>
          <w:color w:val="0D2240"/>
          <w:sz w:val="22"/>
          <w:szCs w:val="22"/>
        </w:rPr>
        <w:t xml:space="preserve">Construção de reputação institucional: </w:t>
      </w:r>
      <w:r>
        <w:rPr>
          <w:rFonts w:ascii="Arial" w:cs="Arial" w:eastAsia="Arial" w:hAnsi="Arial"/>
          <w:sz w:val="22"/>
          <w:szCs w:val="22"/>
        </w:rPr>
        <w:t xml:space="preserve">Emissores habituais nos mercados internacionais desfrutam de maior visibilidade, credibilidade e poder de negociação junto a fornecedores, clientes e sócios globais.</w:t>
      </w:r>
    </w:p>
    <w:p>
      <w:pPr>
        <w:pStyle w:val="ListParagraph"/>
        <w:numPr>
          <w:ilvl w:val="0"/>
          <w:numId w:val="2"/>
        </w:numPr>
        <w:spacing w:before="60" w:after="60"/>
      </w:pPr>
      <w:r>
        <w:rPr>
          <w:rFonts w:ascii="Arial" w:cs="Arial" w:eastAsia="Arial" w:hAnsi="Arial"/>
          <w:b/>
          <w:bCs/>
          <w:color w:val="0D2240"/>
          <w:sz w:val="22"/>
          <w:szCs w:val="22"/>
        </w:rPr>
        <w:t xml:space="preserve">Perfil de vencimentos: </w:t>
      </w:r>
      <w:r>
        <w:rPr>
          <w:rFonts w:ascii="Arial" w:cs="Arial" w:eastAsia="Arial" w:hAnsi="Arial"/>
          <w:sz w:val="22"/>
          <w:szCs w:val="22"/>
        </w:rPr>
        <w:t xml:space="preserve">Emissões de médio e longo prazo no exterior permitem estender o duration da dívida, reduzindo o risco de refinanciamento de curto prazo.</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1.2 O ecossistema de uma emissão internacional</w:t>
      </w:r>
    </w:p>
    <w:p>
      <w:pPr>
        <w:spacing w:before="80" w:after="80"/>
        <w:jc w:val="both"/>
      </w:pPr>
      <w:r>
        <w:rPr>
          <w:rFonts w:ascii="Arial" w:cs="Arial" w:eastAsia="Arial" w:hAnsi="Arial"/>
          <w:color w:val="1A1A1A"/>
          <w:sz w:val="22"/>
          <w:szCs w:val="22"/>
        </w:rPr>
        <w:t xml:space="preserve">Uma emissão de dívida no mercado internacional envolve um conjunto de participantes com funções bem definidas. Compreender esse ecossistema é fundamental para o profissional de DCM: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0C0C0" w:sz="1"/>
              <w:left w:val="single" w:color="C0C0C0" w:sz="1"/>
              <w:bottom w:val="single" w:color="C0C0C0" w:sz="1"/>
              <w:right w:val="single" w:color="C0C0C0" w:sz="1"/>
            </w:tcBorders>
            <w:shd w:fill="0D22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Participante</w:t>
            </w:r>
          </w:p>
        </w:tc>
        <w:tc>
          <w:tcPr>
            <w:tcW w:type="dxa" w:w="5960"/>
            <w:tcBorders>
              <w:top w:val="single" w:color="C0C0C0" w:sz="1"/>
              <w:left w:val="single" w:color="C0C0C0" w:sz="1"/>
              <w:bottom w:val="single" w:color="C0C0C0" w:sz="1"/>
              <w:right w:val="single" w:color="C0C0C0" w:sz="1"/>
            </w:tcBorders>
            <w:shd w:fill="0D22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Função</w:t>
            </w:r>
          </w:p>
        </w:tc>
      </w:tr>
      <w:tr>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Emissor (Issuer)</w:t>
            </w:r>
          </w:p>
        </w:tc>
        <w:tc>
          <w:tcPr>
            <w:tcW w:type="dxa" w:w="5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Empresa ou entidade que levanta o capital emitindo os títulos de dívida.</w:t>
            </w:r>
          </w:p>
        </w:tc>
      </w:tr>
      <w:tr>
        <w:tc>
          <w:tcPr>
            <w:tcW w:type="dxa" w:w="3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Banco Estruturador / Coordenador (Arranger / Bookrunner)</w:t>
            </w:r>
          </w:p>
        </w:tc>
        <w:tc>
          <w:tcPr>
            <w:tcW w:type="dxa" w:w="596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Responsável pela estruturação da transação, precificação, construção do livro de ordens (bookbuilding) e distribuição dos papéis.</w:t>
            </w:r>
          </w:p>
        </w:tc>
      </w:tr>
      <w:tr>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Co-gerentes (Co-managers)</w:t>
            </w:r>
          </w:p>
        </w:tc>
        <w:tc>
          <w:tcPr>
            <w:tcW w:type="dxa" w:w="5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Auxiliam na distribuição dos títulos para sua base de clientes investidores.</w:t>
            </w:r>
          </w:p>
        </w:tc>
      </w:tr>
      <w:tr>
        <w:tc>
          <w:tcPr>
            <w:tcW w:type="dxa" w:w="3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Counsel do Emissor (Issuer's Counsel)</w:t>
            </w:r>
          </w:p>
        </w:tc>
        <w:tc>
          <w:tcPr>
            <w:tcW w:type="dxa" w:w="596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Escritório de advocacia que representa os interesses jurídicos do emissor na transação.</w:t>
            </w:r>
          </w:p>
        </w:tc>
      </w:tr>
      <w:tr>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Counsel do Banco (Bank's Counsel)</w:t>
            </w:r>
          </w:p>
        </w:tc>
        <w:tc>
          <w:tcPr>
            <w:tcW w:type="dxa" w:w="5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Escritório de advocacia que representa o banco estruturador.</w:t>
            </w:r>
          </w:p>
        </w:tc>
      </w:tr>
      <w:tr>
        <w:tc>
          <w:tcPr>
            <w:tcW w:type="dxa" w:w="3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Trustee / Fiscal Agent</w:t>
            </w:r>
          </w:p>
        </w:tc>
        <w:tc>
          <w:tcPr>
            <w:tcW w:type="dxa" w:w="596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Representa os interesses dos detentores dos títulos (bondholders) no cumprimento das obrigações do emissor.</w:t>
            </w:r>
          </w:p>
        </w:tc>
      </w:tr>
      <w:tr>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Rating Agency</w:t>
            </w:r>
          </w:p>
        </w:tc>
        <w:tc>
          <w:tcPr>
            <w:tcW w:type="dxa" w:w="5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Atribui nota de crédito ao emissor e/ou ao papel (Moody's, S&amp;P, Fitch).</w:t>
            </w:r>
          </w:p>
        </w:tc>
      </w:tr>
      <w:tr>
        <w:tc>
          <w:tcPr>
            <w:tcW w:type="dxa" w:w="3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Bolsa de Valores (Listing Authority)</w:t>
            </w:r>
          </w:p>
        </w:tc>
        <w:tc>
          <w:tcPr>
            <w:tcW w:type="dxa" w:w="596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Exchange onde os papéis serão listados — usualmente Euronext Dublin ou London Stock Exchange (LSE) para Reg S.</w:t>
            </w:r>
          </w:p>
        </w:tc>
      </w:tr>
      <w:tr>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Clearing Houses</w:t>
            </w:r>
          </w:p>
        </w:tc>
        <w:tc>
          <w:tcPr>
            <w:tcW w:type="dxa" w:w="5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Euroclear e Clearstream — sistemas de liquidação e custódia dos títulos.</w:t>
            </w:r>
          </w:p>
        </w:tc>
      </w:tr>
      <w:tr>
        <w:tc>
          <w:tcPr>
            <w:tcW w:type="dxa" w:w="3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Investidores</w:t>
            </w:r>
          </w:p>
        </w:tc>
        <w:tc>
          <w:tcPr>
            <w:tcW w:type="dxa" w:w="596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Fundos de gestão ativa (asset managers), hedge funds, seguradoras, fundos de pensão, private banking.</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1.3 Como um Eurobond difere de uma debênture local?</w:t>
      </w:r>
    </w:p>
    <w:p>
      <w:pPr>
        <w:spacing w:before="80" w:after="80"/>
        <w:jc w:val="both"/>
      </w:pPr>
      <w:r>
        <w:rPr>
          <w:rFonts w:ascii="Arial" w:cs="Arial" w:eastAsia="Arial" w:hAnsi="Arial"/>
          <w:color w:val="1A1A1A"/>
          <w:sz w:val="22"/>
          <w:szCs w:val="22"/>
        </w:rPr>
        <w:t xml:space="preserve">Embora ambos sejam instrumentos de dívida, há diferenças fundamentais: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0C0C0" w:sz="1"/>
              <w:left w:val="single" w:color="C0C0C0" w:sz="1"/>
              <w:bottom w:val="single" w:color="C0C0C0" w:sz="1"/>
              <w:right w:val="single" w:color="C0C0C0" w:sz="1"/>
            </w:tcBorders>
            <w:shd w:fill="0D22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Dimensão</w:t>
            </w:r>
          </w:p>
        </w:tc>
        <w:tc>
          <w:tcPr>
            <w:tcW w:type="dxa" w:w="5960"/>
            <w:tcBorders>
              <w:top w:val="single" w:color="C0C0C0" w:sz="1"/>
              <w:left w:val="single" w:color="C0C0C0" w:sz="1"/>
              <w:bottom w:val="single" w:color="C0C0C0" w:sz="1"/>
              <w:right w:val="single" w:color="C0C0C0" w:sz="1"/>
            </w:tcBorders>
            <w:shd w:fill="0D22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Eurobond (Mercado Internacional)</w:t>
            </w:r>
          </w:p>
        </w:tc>
      </w:tr>
      <w:tr>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Moeda</w:t>
            </w:r>
          </w:p>
        </w:tc>
        <w:tc>
          <w:tcPr>
            <w:tcW w:type="dxa" w:w="5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Predominantemente USD. Pode ser EUR, GBP, CHF.</w:t>
            </w:r>
          </w:p>
        </w:tc>
      </w:tr>
      <w:tr>
        <w:tc>
          <w:tcPr>
            <w:tcW w:type="dxa" w:w="3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Jurisdição</w:t>
            </w:r>
          </w:p>
        </w:tc>
        <w:tc>
          <w:tcPr>
            <w:tcW w:type="dxa" w:w="596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Nova York (New York Law) ou Inglaterra (English Law).</w:t>
            </w:r>
          </w:p>
        </w:tc>
      </w:tr>
      <w:tr>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Regulamentação</w:t>
            </w:r>
          </w:p>
        </w:tc>
        <w:tc>
          <w:tcPr>
            <w:tcW w:type="dxa" w:w="5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SEC (EUA) — Reg S e/ou Rule 144A — ou regulação local europeia.</w:t>
            </w:r>
          </w:p>
        </w:tc>
      </w:tr>
      <w:tr>
        <w:tc>
          <w:tcPr>
            <w:tcW w:type="dxa" w:w="3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Base de investidores</w:t>
            </w:r>
          </w:p>
        </w:tc>
        <w:tc>
          <w:tcPr>
            <w:tcW w:type="dxa" w:w="596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Global — asset managers, hedge funds, seguradoras internacionais, private banking offshore.</w:t>
            </w:r>
          </w:p>
        </w:tc>
      </w:tr>
      <w:tr>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Formato de taxa</w:t>
            </w:r>
          </w:p>
        </w:tc>
        <w:tc>
          <w:tcPr>
            <w:tcW w:type="dxa" w:w="5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Geralmente taxa fixa (fixed rate coupon), expressa em % ao ano.</w:t>
            </w:r>
          </w:p>
        </w:tc>
      </w:tr>
      <w:tr>
        <w:tc>
          <w:tcPr>
            <w:tcW w:type="dxa" w:w="3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Benchmark</w:t>
            </w:r>
          </w:p>
        </w:tc>
        <w:tc>
          <w:tcPr>
            <w:tcW w:type="dxa" w:w="596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Spread sobre o Tesouro Americano (UST) ou, para papéis de curto prazo, sobre SOFR.</w:t>
            </w:r>
          </w:p>
        </w:tc>
      </w:tr>
      <w:tr>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Liquidez secundária</w:t>
            </w:r>
          </w:p>
        </w:tc>
        <w:tc>
          <w:tcPr>
            <w:tcW w:type="dxa" w:w="5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Via Bloomberg, Reuters; market makers mantêm cotações bidirecionais.</w:t>
            </w:r>
          </w:p>
        </w:tc>
      </w:tr>
      <w:tr>
        <w:tc>
          <w:tcPr>
            <w:tcW w:type="dxa" w:w="3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Documentação mínima</w:t>
            </w:r>
          </w:p>
        </w:tc>
        <w:tc>
          <w:tcPr>
            <w:tcW w:type="dxa" w:w="596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Offering Memorandum (OM), Indenture ou Fiscal Agency Agreement, Subscription Agreement.</w:t>
            </w:r>
          </w:p>
        </w:tc>
      </w:tr>
    </w:tbl>
    <w:p>
      <w:r>
        <w:br w:type="page"/>
      </w:r>
    </w:p>
    <w:p>
      <w:pPr>
        <w:pStyle w:val="Heading1"/>
        <w:spacing w:before="480" w:after="200"/>
      </w:pPr>
      <w:r>
        <w:rPr>
          <w:rFonts w:ascii="Arial" w:cs="Arial" w:eastAsia="Arial" w:hAnsi="Arial"/>
          <w:b/>
          <w:bCs/>
          <w:color w:val="0D2240"/>
          <w:sz w:val="36"/>
          <w:szCs w:val="36"/>
        </w:rPr>
        <w:t xml:space="preserve">Capítulo 2</w:t>
      </w:r>
    </w:p>
    <w:p>
      <w:pPr>
        <w:pBdr>
          <w:bottom w:val="single" w:color="B8912A" w:sz="4" w:space="4"/>
        </w:pBdr>
        <w:spacing w:before="360" w:after="120"/>
      </w:pPr>
      <w:r>
        <w:rPr>
          <w:rFonts w:ascii="Arial" w:cs="Arial" w:eastAsia="Arial" w:hAnsi="Arial"/>
          <w:b/>
          <w:bCs/>
          <w:color w:val="0D2240"/>
          <w:sz w:val="36"/>
          <w:szCs w:val="36"/>
        </w:rPr>
        <w:t xml:space="preserve">As Duas Estratégias de Entrada no Mercado</w:t>
      </w:r>
    </w:p>
    <w:p>
      <w:pPr>
        <w:spacing w:before="80" w:after="80"/>
      </w:pPr>
      <w:r>
        <w:t xml:space="preserve"/>
      </w:r>
    </w:p>
    <w:p>
      <w:pPr>
        <w:spacing w:before="80" w:after="80"/>
        <w:jc w:val="both"/>
      </w:pPr>
      <w:r>
        <w:rPr>
          <w:rFonts w:ascii="Arial" w:cs="Arial" w:eastAsia="Arial" w:hAnsi="Arial"/>
          <w:color w:val="1A1A1A"/>
          <w:sz w:val="22"/>
          <w:szCs w:val="22"/>
        </w:rPr>
        <w:t xml:space="preserve">Quando uma empresa decide acessar o mercado internacional de dívida pela primeira vez, a escolha da estratégia de entrada é uma das decisões mais importantes que o time de DCM precisa assessorar. O material da BCP Securities apresenta com clareza dois caminhos possíveis: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0C0C0" w:sz="1"/>
              <w:left w:val="single" w:color="C0C0C0" w:sz="1"/>
              <w:bottom w:val="single" w:color="C0C0C0" w:sz="1"/>
              <w:right w:val="single" w:color="C0C0C0" w:sz="1"/>
            </w:tcBorders>
            <w:shd w:fill="0D22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PATH 1 — Landmark Benchmark Entry</w:t>
            </w:r>
          </w:p>
        </w:tc>
        <w:tc>
          <w:tcPr>
            <w:tcW w:type="dxa" w:w="5960"/>
            <w:tcBorders>
              <w:top w:val="single" w:color="C0C0C0" w:sz="1"/>
              <w:left w:val="single" w:color="C0C0C0" w:sz="1"/>
              <w:bottom w:val="single" w:color="C0C0C0" w:sz="1"/>
              <w:right w:val="single" w:color="C0C0C0" w:sz="1"/>
            </w:tcBorders>
            <w:shd w:fill="0D22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PATH 2 — Phased Programmatic Approach (RECOMENDADO)</w:t>
            </w:r>
          </w:p>
        </w:tc>
      </w:tr>
      <w:tr>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Objetivo: estabelecer um benchmark de preço claro, capturar máxima atenção dos investidores em uma única janela.</w:t>
            </w:r>
          </w:p>
        </w:tc>
        <w:tc>
          <w:tcPr>
            <w:tcW w:type="dxa" w:w="5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Objetivo: construir credibilidade gradualmente, reduzir risco de execução, desenvolver relacionamentos de longo prazo.</w:t>
            </w:r>
          </w:p>
        </w:tc>
      </w:tr>
      <w:tr>
        <w:tc>
          <w:tcPr>
            <w:tcW w:type="dxa" w:w="3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Mecânica: emissão de grande porte (benchmark size, tipicamente US$ 300MM+) acompanhada de Global Roadshow.</w:t>
            </w:r>
          </w:p>
        </w:tc>
        <w:tc>
          <w:tcPr>
            <w:tcW w:type="dxa" w:w="596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Mecânica: programa contínuo de educação de investidores seguido de emissões menores e recorrentes.</w:t>
            </w:r>
          </w:p>
        </w:tc>
      </w:tr>
      <w:tr>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Drivers: (1) Maximizar alcance da base de investidores; (2) Criar curva de referência líquida; (3) Aproveitar momentum de crédito.</w:t>
            </w:r>
          </w:p>
        </w:tc>
        <w:tc>
          <w:tcPr>
            <w:tcW w:type="dxa" w:w="5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Drivers: (1) Familiaridade gradual; (2) Construção de confiança com investidores âncora; (3) Efeito 'follow-the-story'.</w:t>
            </w:r>
          </w:p>
        </w:tc>
      </w:tr>
      <w:tr>
        <w:tc>
          <w:tcPr>
            <w:tcW w:type="dxa" w:w="3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Quando usar: emissores com track record reconhecido, rating consolidado, e operação de grande porte.</w:t>
            </w:r>
          </w:p>
        </w:tc>
        <w:tc>
          <w:tcPr>
            <w:tcW w:type="dxa" w:w="596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Quando usar: primeiro acesso ao mercado, empresas de mid-market, histórico de crédito ainda em construção offshore.</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2.1 Por que o Caminho 2 é recomendado para o Grupo JBJ?</w:t>
      </w:r>
    </w:p>
    <w:p>
      <w:pPr>
        <w:spacing w:before="80" w:after="80"/>
        <w:jc w:val="both"/>
      </w:pPr>
      <w:r>
        <w:rPr>
          <w:rFonts w:ascii="Arial" w:cs="Arial" w:eastAsia="Arial" w:hAnsi="Arial"/>
          <w:color w:val="1A1A1A"/>
          <w:sz w:val="22"/>
          <w:szCs w:val="22"/>
        </w:rPr>
        <w:t xml:space="preserve">A recomendação da BCP para o Grupo JBJ é clara: Path 2 — Phased Programmatic Approach. O racional é didático e deve ser internalizado pela equipe:</w:t>
      </w:r>
    </w:p>
    <w:p>
      <w:pPr>
        <w:spacing w:before="60" w:after="60"/>
      </w:pPr>
      <w:r>
        <w:t xml:space="preserve"/>
      </w:r>
    </w:p>
    <w:p>
      <w:pPr>
        <w:pStyle w:val="ListParagraph"/>
        <w:numPr>
          <w:ilvl w:val="0"/>
          <w:numId w:val="3"/>
        </w:numPr>
        <w:spacing w:before="60" w:after="60"/>
      </w:pPr>
      <w:r>
        <w:rPr>
          <w:rFonts w:ascii="Arial" w:cs="Arial" w:eastAsia="Arial" w:hAnsi="Arial"/>
          <w:sz w:val="22"/>
          <w:szCs w:val="22"/>
        </w:rPr>
        <w:t xml:space="preserve">Ausência de nome reconhecido offshore: o JBJ é uma empresa sólida no Brasil, mas desconhecida para investidores internacionais. Forçar um benchmark bond sem histórico offshore é arriscado — pode resultar em demanda insuficiente, precificação defensiva ou, pior, um deal mal-sucedido que dannifica a reputação no mercado.</w:t>
      </w:r>
    </w:p>
    <w:p>
      <w:pPr>
        <w:pStyle w:val="ListParagraph"/>
        <w:numPr>
          <w:ilvl w:val="0"/>
          <w:numId w:val="3"/>
        </w:numPr>
        <w:spacing w:before="60" w:after="60"/>
      </w:pPr>
      <w:r>
        <w:rPr>
          <w:rFonts w:ascii="Arial" w:cs="Arial" w:eastAsia="Arial" w:hAnsi="Arial"/>
          <w:sz w:val="22"/>
          <w:szCs w:val="22"/>
        </w:rPr>
        <w:t xml:space="preserve">Tamanho relativo: com receita de BRL 6,1 bilhões (2Q25) e EBITDA de BRL 549MM, o JBJ é menor que peers como Minerva, BRF e JBS. Um Benchmark Bond de US$ 300MM+ seria desproporcional à maturidade atual da empresa no mercado internacional.</w:t>
      </w:r>
    </w:p>
    <w:p>
      <w:pPr>
        <w:pStyle w:val="ListParagraph"/>
        <w:numPr>
          <w:ilvl w:val="0"/>
          <w:numId w:val="3"/>
        </w:numPr>
        <w:spacing w:before="60" w:after="60"/>
      </w:pPr>
      <w:r>
        <w:rPr>
          <w:rFonts w:ascii="Arial" w:cs="Arial" w:eastAsia="Arial" w:hAnsi="Arial"/>
          <w:sz w:val="22"/>
          <w:szCs w:val="22"/>
        </w:rPr>
        <w:t xml:space="preserve">Vantagem de custo: emissões menores e graduais têm custos legais e estruturais proporcionalmente menores. A construção de um programa (ECP ou EMTN) amortiza custos ao longo do tempo.</w:t>
      </w:r>
    </w:p>
    <w:p>
      <w:pPr>
        <w:pStyle w:val="ListParagraph"/>
        <w:numPr>
          <w:ilvl w:val="0"/>
          <w:numId w:val="3"/>
        </w:numPr>
        <w:spacing w:before="60" w:after="60"/>
      </w:pPr>
      <w:r>
        <w:rPr>
          <w:rFonts w:ascii="Arial" w:cs="Arial" w:eastAsia="Arial" w:hAnsi="Arial"/>
          <w:sz w:val="22"/>
          <w:szCs w:val="22"/>
        </w:rPr>
        <w:t xml:space="preserve">Flexibilidade operacional: dada a sazonalidade das operações agropecuárias, um programa permite ao JBJ acessar o mercado nos momentos de maior necessidade de capital de giro — alinhado com os ciclos de colheita e exportação.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912A" w:sz="4"/>
              <w:left w:val="single" w:color="B8912A" w:sz="4"/>
              <w:bottom w:val="single" w:color="B8912A" w:sz="4"/>
              <w:right w:val="single" w:color="B8912A" w:sz="4"/>
            </w:tcBorders>
            <w:shd w:fill="D6E4F0" w:val="clear"/>
            <w:tcMar>
              <w:top w:type="dxa" w:w="120"/>
              <w:left w:type="dxa" w:w="180"/>
              <w:bottom w:type="dxa" w:w="120"/>
              <w:right w:type="dxa" w:w="180"/>
            </w:tcMar>
          </w:tcPr>
          <w:p>
            <w:pPr>
              <w:jc w:val="both"/>
            </w:pPr>
            <w:r>
              <w:rPr>
                <w:rFonts w:ascii="Arial" w:cs="Arial" w:eastAsia="Arial" w:hAnsi="Arial"/>
                <w:b/>
                <w:bCs/>
                <w:color w:val="0D2240"/>
                <w:sz w:val="22"/>
                <w:szCs w:val="22"/>
              </w:rPr>
              <w:t xml:space="preserve">Princípio DCM: 'Start small → Build investor confidence → Scale gradually → Execute benchmark when optimal.' Este racional é universalmente aplicável a emissores de primeira viagem em qualquer mercado emergente.</w:t>
            </w:r>
          </w:p>
        </w:tc>
      </w:tr>
    </w:tbl>
    <w:p>
      <w:r>
        <w:br w:type="page"/>
      </w:r>
    </w:p>
    <w:p>
      <w:pPr>
        <w:pStyle w:val="Heading1"/>
        <w:spacing w:before="480" w:after="200"/>
      </w:pPr>
      <w:r>
        <w:rPr>
          <w:rFonts w:ascii="Arial" w:cs="Arial" w:eastAsia="Arial" w:hAnsi="Arial"/>
          <w:b/>
          <w:bCs/>
          <w:color w:val="0D2240"/>
          <w:sz w:val="36"/>
          <w:szCs w:val="36"/>
        </w:rPr>
        <w:t xml:space="preserve">Capítulo 3</w:t>
      </w:r>
    </w:p>
    <w:p>
      <w:pPr>
        <w:pBdr>
          <w:bottom w:val="single" w:color="B8912A" w:sz="4" w:space="4"/>
        </w:pBdr>
        <w:spacing w:before="360" w:after="120"/>
      </w:pPr>
      <w:r>
        <w:rPr>
          <w:rFonts w:ascii="Arial" w:cs="Arial" w:eastAsia="Arial" w:hAnsi="Arial"/>
          <w:b/>
          <w:bCs/>
          <w:color w:val="0D2240"/>
          <w:sz w:val="36"/>
          <w:szCs w:val="36"/>
        </w:rPr>
        <w:t xml:space="preserve">A Estratégia Faseada: Três Fases de Crescimento</w:t>
      </w:r>
    </w:p>
    <w:p>
      <w:pPr>
        <w:spacing w:before="80" w:after="80"/>
      </w:pPr>
      <w:r>
        <w:t xml:space="preserve"/>
      </w:r>
    </w:p>
    <w:p>
      <w:pPr>
        <w:spacing w:before="80" w:after="80"/>
        <w:jc w:val="both"/>
      </w:pPr>
      <w:r>
        <w:rPr>
          <w:rFonts w:ascii="Arial" w:cs="Arial" w:eastAsia="Arial" w:hAnsi="Arial"/>
          <w:color w:val="1A1A1A"/>
          <w:sz w:val="22"/>
          <w:szCs w:val="22"/>
        </w:rPr>
        <w:t xml:space="preserve">A estratégia faseada proposta pela BCP divide o processo de construção de presença no mercado internacional em três fases sequenciais e complementares. Compreender cada fase em profundidade é essencial para o time de DCM.</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Fase 1 — Plataforma de Capital de Giro de Curto Prazo</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160"/>
              <w:bottom w:type="dxa" w:w="60"/>
              <w:right w:type="dxa" w:w="160"/>
            </w:tcMar>
          </w:tcPr>
          <w:p>
            <w:r>
              <w:rPr>
                <w:rFonts w:ascii="Arial" w:cs="Arial" w:eastAsia="Arial" w:hAnsi="Arial"/>
                <w:b/>
                <w:bCs/>
                <w:color w:val="0D2240"/>
                <w:sz w:val="22"/>
                <w:szCs w:val="22"/>
              </w:rPr>
              <w:t xml:space="preserve">OBJETIVO DA FASE 1</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Dar ao JBJ sua primeira exposição ao mercado internacional de dívida de forma conservadora,</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desenvolver relacionamentos com investidores offshore e estabelecer uma referência de precificação</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externa, sem expor a empresa a riscos excessivos de execução ou compromissos de longo prazo.</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0C0C0" w:sz="1"/>
              <w:left w:val="single" w:color="C0C0C0" w:sz="1"/>
              <w:bottom w:val="single" w:color="C0C0C0" w:sz="1"/>
              <w:right w:val="single" w:color="C0C0C0" w:sz="1"/>
            </w:tcBorders>
            <w:shd w:fill="0D2240"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Parâmetro</w:t>
            </w:r>
          </w:p>
        </w:tc>
        <w:tc>
          <w:tcPr>
            <w:tcW w:type="dxa" w:w="3580"/>
            <w:tcBorders>
              <w:top w:val="single" w:color="C0C0C0" w:sz="1"/>
              <w:left w:val="single" w:color="C0C0C0" w:sz="1"/>
              <w:bottom w:val="single" w:color="C0C0C0" w:sz="1"/>
              <w:right w:val="single" w:color="C0C0C0" w:sz="1"/>
            </w:tcBorders>
            <w:shd w:fill="0D2240"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ECP (1 ano)</w:t>
            </w:r>
          </w:p>
        </w:tc>
        <w:tc>
          <w:tcPr>
            <w:tcW w:type="dxa" w:w="3580"/>
            <w:tcBorders>
              <w:top w:val="single" w:color="C0C0C0" w:sz="1"/>
              <w:left w:val="single" w:color="C0C0C0" w:sz="1"/>
              <w:bottom w:val="single" w:color="C0C0C0" w:sz="1"/>
              <w:right w:val="single" w:color="C0C0C0" w:sz="1"/>
            </w:tcBorders>
            <w:shd w:fill="0D2240"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STN (até 3 anos)</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Instrumento</w:t>
            </w:r>
          </w:p>
        </w:tc>
        <w:tc>
          <w:tcPr>
            <w:tcW w:type="dxa" w:w="358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Euro Commercial Paper</w:t>
            </w:r>
          </w:p>
        </w:tc>
        <w:tc>
          <w:tcPr>
            <w:tcW w:type="dxa" w:w="358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Short-Term Notes</w:t>
            </w:r>
          </w:p>
        </w:tc>
      </w:tr>
      <w:tr>
        <w:tc>
          <w:tcPr>
            <w:tcW w:type="dxa" w:w="220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Tamanho sugerido</w:t>
            </w:r>
          </w:p>
        </w:tc>
        <w:tc>
          <w:tcPr>
            <w:tcW w:type="dxa" w:w="358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US$ 15MM – US$ 50MM</w:t>
            </w:r>
          </w:p>
        </w:tc>
        <w:tc>
          <w:tcPr>
            <w:tcW w:type="dxa" w:w="358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US$ 25MM – US$ 100MM</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Tenor</w:t>
            </w:r>
          </w:p>
        </w:tc>
        <w:tc>
          <w:tcPr>
            <w:tcW w:type="dxa" w:w="358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Até 12 meses</w:t>
            </w:r>
          </w:p>
        </w:tc>
        <w:tc>
          <w:tcPr>
            <w:tcW w:type="dxa" w:w="358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Até 36 meses</w:t>
            </w:r>
          </w:p>
        </w:tc>
      </w:tr>
      <w:tr>
        <w:tc>
          <w:tcPr>
            <w:tcW w:type="dxa" w:w="220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Formato regulatório</w:t>
            </w:r>
          </w:p>
        </w:tc>
        <w:tc>
          <w:tcPr>
            <w:tcW w:type="dxa" w:w="358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Reg S only</w:t>
            </w:r>
          </w:p>
        </w:tc>
        <w:tc>
          <w:tcPr>
            <w:tcW w:type="dxa" w:w="358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Reg S only</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Yield indicativo</w:t>
            </w:r>
          </w:p>
        </w:tc>
        <w:tc>
          <w:tcPr>
            <w:tcW w:type="dxa" w:w="358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Mid 7s% a.a.</w:t>
            </w:r>
          </w:p>
        </w:tc>
        <w:tc>
          <w:tcPr>
            <w:tcW w:type="dxa" w:w="358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8s% a.a.</w:t>
            </w:r>
          </w:p>
        </w:tc>
      </w:tr>
      <w:tr>
        <w:tc>
          <w:tcPr>
            <w:tcW w:type="dxa" w:w="220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Principal</w:t>
            </w:r>
          </w:p>
        </w:tc>
        <w:tc>
          <w:tcPr>
            <w:tcW w:type="dxa" w:w="358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Emitido com deságio (OID)</w:t>
            </w:r>
          </w:p>
        </w:tc>
        <w:tc>
          <w:tcPr>
            <w:tcW w:type="dxa" w:w="358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Bullet</w:t>
            </w:r>
          </w:p>
        </w:tc>
      </w:tr>
    </w:tbl>
    <w:p>
      <w:pPr>
        <w:spacing w:before="80" w:after="80"/>
      </w:pPr>
      <w:r>
        <w:t xml:space="preserve"/>
      </w:r>
    </w:p>
    <w:p>
      <w:pPr>
        <w:pStyle w:val="Heading3"/>
        <w:spacing w:before="240" w:after="120"/>
      </w:pPr>
      <w:r>
        <w:rPr>
          <w:rFonts w:ascii="Arial" w:cs="Arial" w:eastAsia="Arial" w:hAnsi="Arial"/>
          <w:b/>
          <w:bCs/>
          <w:color w:val="0D2240"/>
          <w:sz w:val="24"/>
          <w:szCs w:val="24"/>
        </w:rPr>
        <w:t xml:space="preserve">Adequação estratégica da Fase 1:</w:t>
      </w:r>
    </w:p>
    <w:p>
      <w:pPr>
        <w:pStyle w:val="ListParagraph"/>
        <w:numPr>
          <w:ilvl w:val="0"/>
          <w:numId w:val="2"/>
        </w:numPr>
        <w:spacing w:before="60" w:after="60"/>
      </w:pPr>
      <w:r>
        <w:rPr>
          <w:rFonts w:ascii="Arial" w:cs="Arial" w:eastAsia="Arial" w:hAnsi="Arial"/>
          <w:sz w:val="22"/>
          <w:szCs w:val="22"/>
        </w:rPr>
        <w:t xml:space="preserve">Financia os ciclos sazonais de capital de giro, alinhando o passivo à temporada de colheita e exportação</w:t>
      </w:r>
    </w:p>
    <w:p>
      <w:pPr>
        <w:pStyle w:val="ListParagraph"/>
        <w:numPr>
          <w:ilvl w:val="0"/>
          <w:numId w:val="2"/>
        </w:numPr>
        <w:spacing w:before="60" w:after="60"/>
      </w:pPr>
      <w:r>
        <w:rPr>
          <w:rFonts w:ascii="Arial" w:cs="Arial" w:eastAsia="Arial" w:hAnsi="Arial"/>
          <w:sz w:val="22"/>
          <w:szCs w:val="22"/>
        </w:rPr>
        <w:t xml:space="preserve">Estrutura mais simples, com documentação mais enxuta e custos legais menores</w:t>
      </w:r>
    </w:p>
    <w:p>
      <w:pPr>
        <w:pStyle w:val="ListParagraph"/>
        <w:numPr>
          <w:ilvl w:val="0"/>
          <w:numId w:val="2"/>
        </w:numPr>
        <w:spacing w:before="60" w:after="60"/>
      </w:pPr>
      <w:r>
        <w:rPr>
          <w:rFonts w:ascii="Arial" w:cs="Arial" w:eastAsia="Arial" w:hAnsi="Arial"/>
          <w:sz w:val="22"/>
          <w:szCs w:val="22"/>
        </w:rPr>
        <w:t xml:space="preserve">Menor risco de execução: o mercado de ECP e STN tem menor dependência de roadshows extensos</w:t>
      </w:r>
    </w:p>
    <w:p>
      <w:pPr>
        <w:pStyle w:val="ListParagraph"/>
        <w:numPr>
          <w:ilvl w:val="0"/>
          <w:numId w:val="2"/>
        </w:numPr>
        <w:spacing w:before="60" w:after="60"/>
      </w:pPr>
      <w:r>
        <w:rPr>
          <w:rFonts w:ascii="Arial" w:cs="Arial" w:eastAsia="Arial" w:hAnsi="Arial"/>
          <w:sz w:val="22"/>
          <w:szCs w:val="22"/>
        </w:rPr>
        <w:t xml:space="preserve">Natural hedge: se as receitas de exportação são em USD, o passivo também é em USD</w:t>
      </w:r>
    </w:p>
    <w:p>
      <w:pPr>
        <w:pStyle w:val="ListParagraph"/>
        <w:numPr>
          <w:ilvl w:val="0"/>
          <w:numId w:val="2"/>
        </w:numPr>
        <w:spacing w:before="60" w:after="60"/>
      </w:pPr>
      <w:r>
        <w:rPr>
          <w:rFonts w:ascii="Arial" w:cs="Arial" w:eastAsia="Arial" w:hAnsi="Arial"/>
          <w:sz w:val="22"/>
          <w:szCs w:val="22"/>
        </w:rPr>
        <w:t xml:space="preserve">Cria o primeiro relacionamento com investidores de private banking offshore e fundos EM focados em curto prazo</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Fase 2 — Expansão via Programa MTN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160"/>
              <w:bottom w:type="dxa" w:w="60"/>
              <w:right w:type="dxa" w:w="160"/>
            </w:tcMar>
          </w:tcPr>
          <w:p>
            <w:r>
              <w:rPr>
                <w:rFonts w:ascii="Arial" w:cs="Arial" w:eastAsia="Arial" w:hAnsi="Arial"/>
                <w:b/>
                <w:bCs/>
                <w:color w:val="0D2240"/>
                <w:sz w:val="22"/>
                <w:szCs w:val="22"/>
              </w:rPr>
              <w:t xml:space="preserve">OBJETIVO DA FASE 2</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Estabelecer uma plataforma permanente de funding internacional, diversificando as fontes de</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financiamento e construindo uma curva offshore gradual. A Fase 2 transforma o JBJ em um</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emissor recorrente, com acesso ágil ao mercado em janelas favoráveis.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0C0C0" w:sz="1"/>
              <w:left w:val="single" w:color="C0C0C0" w:sz="1"/>
              <w:bottom w:val="single" w:color="C0C0C0" w:sz="1"/>
              <w:right w:val="single" w:color="C0C0C0" w:sz="1"/>
            </w:tcBorders>
            <w:shd w:fill="0D2240"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Parâmetro</w:t>
            </w:r>
          </w:p>
        </w:tc>
        <w:tc>
          <w:tcPr>
            <w:tcW w:type="dxa" w:w="3580"/>
            <w:tcBorders>
              <w:top w:val="single" w:color="C0C0C0" w:sz="1"/>
              <w:left w:val="single" w:color="C0C0C0" w:sz="1"/>
              <w:bottom w:val="single" w:color="C0C0C0" w:sz="1"/>
              <w:right w:val="single" w:color="C0C0C0" w:sz="1"/>
            </w:tcBorders>
            <w:shd w:fill="0D2240"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STN Program</w:t>
            </w:r>
          </w:p>
        </w:tc>
        <w:tc>
          <w:tcPr>
            <w:tcW w:type="dxa" w:w="3580"/>
            <w:tcBorders>
              <w:top w:val="single" w:color="C0C0C0" w:sz="1"/>
              <w:left w:val="single" w:color="C0C0C0" w:sz="1"/>
              <w:bottom w:val="single" w:color="C0C0C0" w:sz="1"/>
              <w:right w:val="single" w:color="C0C0C0" w:sz="1"/>
            </w:tcBorders>
            <w:shd w:fill="0D2240"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EMTN Program</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Instrumento</w:t>
            </w:r>
          </w:p>
        </w:tc>
        <w:tc>
          <w:tcPr>
            <w:tcW w:type="dxa" w:w="358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Short-Term Note Program</w:t>
            </w:r>
          </w:p>
        </w:tc>
        <w:tc>
          <w:tcPr>
            <w:tcW w:type="dxa" w:w="358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Euro Medium Term Note Program</w:t>
            </w:r>
          </w:p>
        </w:tc>
      </w:tr>
      <w:tr>
        <w:tc>
          <w:tcPr>
            <w:tcW w:type="dxa" w:w="220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Tamanho por emissão</w:t>
            </w:r>
          </w:p>
        </w:tc>
        <w:tc>
          <w:tcPr>
            <w:tcW w:type="dxa" w:w="358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US$ 25MM – US$ 150MM</w:t>
            </w:r>
          </w:p>
        </w:tc>
        <w:tc>
          <w:tcPr>
            <w:tcW w:type="dxa" w:w="358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US$ 50MM – US$ 150MM</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Tenor</w:t>
            </w:r>
          </w:p>
        </w:tc>
        <w:tc>
          <w:tcPr>
            <w:tcW w:type="dxa" w:w="358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2 a 3 anos</w:t>
            </w:r>
          </w:p>
        </w:tc>
        <w:tc>
          <w:tcPr>
            <w:tcW w:type="dxa" w:w="358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2 a 7 anos</w:t>
            </w:r>
          </w:p>
        </w:tc>
      </w:tr>
      <w:tr>
        <w:tc>
          <w:tcPr>
            <w:tcW w:type="dxa" w:w="220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Formato regulatório</w:t>
            </w:r>
          </w:p>
        </w:tc>
        <w:tc>
          <w:tcPr>
            <w:tcW w:type="dxa" w:w="358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Reg S; potencialmente 4(a)(2)</w:t>
            </w:r>
          </w:p>
        </w:tc>
        <w:tc>
          <w:tcPr>
            <w:tcW w:type="dxa" w:w="358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Reg S; potencialmente Reg S/144A</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Custo de estabelecimento</w:t>
            </w:r>
          </w:p>
        </w:tc>
        <w:tc>
          <w:tcPr>
            <w:tcW w:type="dxa" w:w="358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US$ 50k – 60k</w:t>
            </w:r>
          </w:p>
        </w:tc>
        <w:tc>
          <w:tcPr>
            <w:tcW w:type="dxa" w:w="358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US$ 200k – 300k</w:t>
            </w:r>
          </w:p>
        </w:tc>
      </w:tr>
      <w:tr>
        <w:tc>
          <w:tcPr>
            <w:tcW w:type="dxa" w:w="220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Timeline de setup</w:t>
            </w:r>
          </w:p>
        </w:tc>
        <w:tc>
          <w:tcPr>
            <w:tcW w:type="dxa" w:w="358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4–6 semanas (Reg S)</w:t>
            </w:r>
          </w:p>
        </w:tc>
        <w:tc>
          <w:tcPr>
            <w:tcW w:type="dxa" w:w="358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6–8 semanas (Reg S)</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Emissões subsequentes</w:t>
            </w:r>
          </w:p>
        </w:tc>
        <w:tc>
          <w:tcPr>
            <w:tcW w:type="dxa" w:w="358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1–2 semanas</w:t>
            </w:r>
          </w:p>
        </w:tc>
        <w:tc>
          <w:tcPr>
            <w:tcW w:type="dxa" w:w="358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1–2 semanas</w:t>
            </w:r>
          </w:p>
        </w:tc>
      </w:tr>
    </w:tbl>
    <w:p>
      <w:pPr>
        <w:spacing w:before="80" w:after="80"/>
      </w:pPr>
      <w:r>
        <w:t xml:space="preserve"/>
      </w:r>
    </w:p>
    <w:p>
      <w:pPr>
        <w:pStyle w:val="Heading3"/>
        <w:spacing w:before="240" w:after="120"/>
      </w:pPr>
      <w:r>
        <w:rPr>
          <w:rFonts w:ascii="Arial" w:cs="Arial" w:eastAsia="Arial" w:hAnsi="Arial"/>
          <w:b/>
          <w:bCs/>
          <w:color w:val="0D2240"/>
          <w:sz w:val="24"/>
          <w:szCs w:val="24"/>
        </w:rPr>
        <w:t xml:space="preserve">Adequação estratégica da Fase 2:</w:t>
      </w:r>
    </w:p>
    <w:p>
      <w:pPr>
        <w:pStyle w:val="ListParagraph"/>
        <w:numPr>
          <w:ilvl w:val="0"/>
          <w:numId w:val="2"/>
        </w:numPr>
        <w:spacing w:before="60" w:after="60"/>
      </w:pPr>
      <w:r>
        <w:rPr>
          <w:rFonts w:ascii="Arial" w:cs="Arial" w:eastAsia="Arial" w:hAnsi="Arial"/>
          <w:sz w:val="22"/>
          <w:szCs w:val="22"/>
        </w:rPr>
        <w:t xml:space="preserve">Financia projetos de maior porte: irrigação, expansão de terras, processamento</w:t>
      </w:r>
    </w:p>
    <w:p>
      <w:pPr>
        <w:pStyle w:val="ListParagraph"/>
        <w:numPr>
          <w:ilvl w:val="0"/>
          <w:numId w:val="2"/>
        </w:numPr>
        <w:spacing w:before="60" w:after="60"/>
      </w:pPr>
      <w:r>
        <w:rPr>
          <w:rFonts w:ascii="Arial" w:cs="Arial" w:eastAsia="Arial" w:hAnsi="Arial"/>
          <w:sz w:val="22"/>
          <w:szCs w:val="22"/>
        </w:rPr>
        <w:t xml:space="preserve">Diversifica o passivo em relação às linhas de crédito bancário local, que podem ter limites, custos ou colaterais</w:t>
      </w:r>
    </w:p>
    <w:p>
      <w:pPr>
        <w:pStyle w:val="ListParagraph"/>
        <w:numPr>
          <w:ilvl w:val="0"/>
          <w:numId w:val="2"/>
        </w:numPr>
        <w:spacing w:before="60" w:after="60"/>
      </w:pPr>
      <w:r>
        <w:rPr>
          <w:rFonts w:ascii="Arial" w:cs="Arial" w:eastAsia="Arial" w:hAnsi="Arial"/>
          <w:sz w:val="22"/>
          <w:szCs w:val="22"/>
        </w:rPr>
        <w:t xml:space="preserve">Constrói a curva offshore gradualmente — quanto mais emissões, mais data points para os investidores calibrarem o risco</w:t>
      </w:r>
    </w:p>
    <w:p>
      <w:pPr>
        <w:pStyle w:val="ListParagraph"/>
        <w:numPr>
          <w:ilvl w:val="0"/>
          <w:numId w:val="2"/>
        </w:numPr>
        <w:spacing w:before="60" w:after="60"/>
      </w:pPr>
      <w:r>
        <w:rPr>
          <w:rFonts w:ascii="Arial" w:cs="Arial" w:eastAsia="Arial" w:hAnsi="Arial"/>
          <w:sz w:val="22"/>
          <w:szCs w:val="22"/>
        </w:rPr>
        <w:t xml:space="preserve">Acesso a base de investidores mais ampla — fundos EM de médio prazo</w:t>
      </w:r>
    </w:p>
    <w:p>
      <w:pPr>
        <w:pStyle w:val="ListParagraph"/>
        <w:numPr>
          <w:ilvl w:val="0"/>
          <w:numId w:val="2"/>
        </w:numPr>
        <w:spacing w:before="60" w:after="60"/>
      </w:pPr>
      <w:r>
        <w:rPr>
          <w:rFonts w:ascii="Arial" w:cs="Arial" w:eastAsia="Arial" w:hAnsi="Arial"/>
          <w:sz w:val="22"/>
          <w:szCs w:val="22"/>
        </w:rPr>
        <w:t xml:space="preserve">Programa estabelecido = velocidade de execução: novas emissões podem ser executadas em 1–2 semanas</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Fase 3 — Benchmark Bond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160"/>
              <w:bottom w:type="dxa" w:w="60"/>
              <w:right w:type="dxa" w:w="160"/>
            </w:tcMar>
          </w:tcPr>
          <w:p>
            <w:r>
              <w:rPr>
                <w:rFonts w:ascii="Arial" w:cs="Arial" w:eastAsia="Arial" w:hAnsi="Arial"/>
                <w:b/>
                <w:bCs/>
                <w:color w:val="0D2240"/>
                <w:sz w:val="22"/>
                <w:szCs w:val="22"/>
              </w:rPr>
              <w:t xml:space="preserve">OBJETIVO DA FASE 3</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Executar uma emissão de grande porte, de perfil benchmark, que eleve o JBJ ao status de</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emissor reconhecido internacionalmente, com liquidez secundária robusta e potencial de</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elegibilidade a índices de dívida de mercados emergentes.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0C0C0" w:sz="1"/>
              <w:left w:val="single" w:color="C0C0C0" w:sz="1"/>
              <w:bottom w:val="single" w:color="C0C0C0" w:sz="1"/>
              <w:right w:val="single" w:color="C0C0C0" w:sz="1"/>
            </w:tcBorders>
            <w:shd w:fill="0D2240"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Parâmetro</w:t>
            </w:r>
          </w:p>
        </w:tc>
        <w:tc>
          <w:tcPr>
            <w:tcW w:type="dxa" w:w="3580"/>
            <w:tcBorders>
              <w:top w:val="single" w:color="C0C0C0" w:sz="1"/>
              <w:left w:val="single" w:color="C0C0C0" w:sz="1"/>
              <w:bottom w:val="single" w:color="C0C0C0" w:sz="1"/>
              <w:right w:val="single" w:color="C0C0C0" w:sz="1"/>
            </w:tcBorders>
            <w:shd w:fill="0D2240"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EMTN / Standalone</w:t>
            </w:r>
          </w:p>
        </w:tc>
        <w:tc>
          <w:tcPr>
            <w:tcW w:type="dxa" w:w="3580"/>
            <w:tcBorders>
              <w:top w:val="single" w:color="C0C0C0" w:sz="1"/>
              <w:left w:val="single" w:color="C0C0C0" w:sz="1"/>
              <w:bottom w:val="single" w:color="C0C0C0" w:sz="1"/>
              <w:right w:val="single" w:color="C0C0C0" w:sz="1"/>
            </w:tcBorders>
            <w:shd w:fill="0D2240"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Reg S / 144A</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Instrumento</w:t>
            </w:r>
          </w:p>
        </w:tc>
        <w:tc>
          <w:tcPr>
            <w:tcW w:type="dxa" w:w="358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EMTN ou emissão standalone</w:t>
            </w:r>
          </w:p>
        </w:tc>
        <w:tc>
          <w:tcPr>
            <w:tcW w:type="dxa" w:w="358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Benchmark Bond</w:t>
            </w:r>
          </w:p>
        </w:tc>
      </w:tr>
      <w:tr>
        <w:tc>
          <w:tcPr>
            <w:tcW w:type="dxa" w:w="220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Tamanho</w:t>
            </w:r>
          </w:p>
        </w:tc>
        <w:tc>
          <w:tcPr>
            <w:tcW w:type="dxa" w:w="358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US$ 250MM – US$ 300MM+</w:t>
            </w:r>
          </w:p>
        </w:tc>
        <w:tc>
          <w:tcPr>
            <w:tcW w:type="dxa" w:w="358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US$ 300MM+</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Tenor</w:t>
            </w:r>
          </w:p>
        </w:tc>
        <w:tc>
          <w:tcPr>
            <w:tcW w:type="dxa" w:w="358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3 a 7 anos</w:t>
            </w:r>
          </w:p>
        </w:tc>
        <w:tc>
          <w:tcPr>
            <w:tcW w:type="dxa" w:w="358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5 a 10 anos</w:t>
            </w:r>
          </w:p>
        </w:tc>
      </w:tr>
      <w:tr>
        <w:tc>
          <w:tcPr>
            <w:tcW w:type="dxa" w:w="220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Formato regulatório</w:t>
            </w:r>
          </w:p>
        </w:tc>
        <w:tc>
          <w:tcPr>
            <w:tcW w:type="dxa" w:w="358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Reg S e/ou 144A</w:t>
            </w:r>
          </w:p>
        </w:tc>
        <w:tc>
          <w:tcPr>
            <w:tcW w:type="dxa" w:w="358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Reg S / 144A (para max. liquidez)</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Yield indicativo</w:t>
            </w:r>
          </w:p>
        </w:tc>
        <w:tc>
          <w:tcPr>
            <w:tcW w:type="dxa" w:w="358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High 8s% a.a.</w:t>
            </w:r>
          </w:p>
        </w:tc>
        <w:tc>
          <w:tcPr>
            <w:tcW w:type="dxa" w:w="358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A ser determinado pelo mercado</w:t>
            </w:r>
          </w:p>
        </w:tc>
      </w:tr>
      <w:tr>
        <w:tc>
          <w:tcPr>
            <w:tcW w:type="dxa" w:w="220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Principal</w:t>
            </w:r>
          </w:p>
        </w:tc>
        <w:tc>
          <w:tcPr>
            <w:tcW w:type="dxa" w:w="358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Bullet ou amortizável</w:t>
            </w:r>
          </w:p>
        </w:tc>
        <w:tc>
          <w:tcPr>
            <w:tcW w:type="dxa" w:w="358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Bullet (padrão de mercado)</w:t>
            </w:r>
          </w:p>
        </w:tc>
      </w:tr>
    </w:tbl>
    <w:p>
      <w:pPr>
        <w:spacing w:before="80" w:after="80"/>
      </w:pPr>
      <w:r>
        <w:t xml:space="preserve"/>
      </w:r>
    </w:p>
    <w:p>
      <w:pPr>
        <w:pStyle w:val="Heading3"/>
        <w:spacing w:before="240" w:after="120"/>
      </w:pPr>
      <w:r>
        <w:rPr>
          <w:rFonts w:ascii="Arial" w:cs="Arial" w:eastAsia="Arial" w:hAnsi="Arial"/>
          <w:b/>
          <w:bCs/>
          <w:color w:val="0D2240"/>
          <w:sz w:val="24"/>
          <w:szCs w:val="24"/>
        </w:rPr>
        <w:t xml:space="preserve">Pré-requisitos para a Fase 3:</w:t>
      </w:r>
    </w:p>
    <w:p>
      <w:pPr>
        <w:pStyle w:val="ListParagraph"/>
        <w:numPr>
          <w:ilvl w:val="0"/>
          <w:numId w:val="2"/>
        </w:numPr>
        <w:spacing w:before="60" w:after="60"/>
      </w:pPr>
      <w:r>
        <w:rPr>
          <w:rFonts w:ascii="Arial" w:cs="Arial" w:eastAsia="Arial" w:hAnsi="Arial"/>
          <w:sz w:val="22"/>
          <w:szCs w:val="22"/>
        </w:rPr>
        <w:t xml:space="preserve">Histórico de emissões internacionais (Fases 1 e 2 concluídas)</w:t>
      </w:r>
    </w:p>
    <w:p>
      <w:pPr>
        <w:pStyle w:val="ListParagraph"/>
        <w:numPr>
          <w:ilvl w:val="0"/>
          <w:numId w:val="2"/>
        </w:numPr>
        <w:spacing w:before="60" w:after="60"/>
      </w:pPr>
      <w:r>
        <w:rPr>
          <w:rFonts w:ascii="Arial" w:cs="Arial" w:eastAsia="Arial" w:hAnsi="Arial"/>
          <w:sz w:val="22"/>
          <w:szCs w:val="22"/>
        </w:rPr>
        <w:t xml:space="preserve">Rating estabelecido (B+/BB-) e track record de transparência com investidores</w:t>
      </w:r>
    </w:p>
    <w:p>
      <w:pPr>
        <w:pStyle w:val="ListParagraph"/>
        <w:numPr>
          <w:ilvl w:val="0"/>
          <w:numId w:val="2"/>
        </w:numPr>
        <w:spacing w:before="60" w:after="60"/>
      </w:pPr>
      <w:r>
        <w:rPr>
          <w:rFonts w:ascii="Arial" w:cs="Arial" w:eastAsia="Arial" w:hAnsi="Arial"/>
          <w:sz w:val="22"/>
          <w:szCs w:val="22"/>
        </w:rPr>
        <w:t xml:space="preserve">Nome reconhecido em pelo menos 2–3 roadshows de investor education</w:t>
      </w:r>
    </w:p>
    <w:p>
      <w:pPr>
        <w:pStyle w:val="ListParagraph"/>
        <w:numPr>
          <w:ilvl w:val="0"/>
          <w:numId w:val="2"/>
        </w:numPr>
        <w:spacing w:before="60" w:after="60"/>
      </w:pPr>
      <w:r>
        <w:rPr>
          <w:rFonts w:ascii="Arial" w:cs="Arial" w:eastAsia="Arial" w:hAnsi="Arial"/>
          <w:sz w:val="22"/>
          <w:szCs w:val="22"/>
        </w:rPr>
        <w:t xml:space="preserve">Mercado receptivo a emissores do setor agropecuário/proteína brasileiro</w:t>
      </w:r>
    </w:p>
    <w:p>
      <w:pPr>
        <w:pStyle w:val="ListParagraph"/>
        <w:numPr>
          <w:ilvl w:val="0"/>
          <w:numId w:val="2"/>
        </w:numPr>
        <w:spacing w:before="60" w:after="60"/>
      </w:pPr>
      <w:r>
        <w:rPr>
          <w:rFonts w:ascii="Arial" w:cs="Arial" w:eastAsia="Arial" w:hAnsi="Arial"/>
          <w:sz w:val="22"/>
          <w:szCs w:val="22"/>
        </w:rPr>
        <w:t xml:space="preserve">Pipeline de capex ou aquisição que justifique o volume</w:t>
      </w:r>
    </w:p>
    <w:p>
      <w:r>
        <w:br w:type="page"/>
      </w:r>
    </w:p>
    <w:p>
      <w:pPr>
        <w:pStyle w:val="Heading1"/>
        <w:spacing w:before="480" w:after="200"/>
      </w:pPr>
      <w:r>
        <w:rPr>
          <w:rFonts w:ascii="Arial" w:cs="Arial" w:eastAsia="Arial" w:hAnsi="Arial"/>
          <w:b/>
          <w:bCs/>
          <w:color w:val="0D2240"/>
          <w:sz w:val="36"/>
          <w:szCs w:val="36"/>
        </w:rPr>
        <w:t xml:space="preserve">Capítulo 4</w:t>
      </w:r>
    </w:p>
    <w:p>
      <w:pPr>
        <w:pBdr>
          <w:bottom w:val="single" w:color="B8912A" w:sz="4" w:space="4"/>
        </w:pBdr>
        <w:spacing w:before="360" w:after="120"/>
      </w:pPr>
      <w:r>
        <w:rPr>
          <w:rFonts w:ascii="Arial" w:cs="Arial" w:eastAsia="Arial" w:hAnsi="Arial"/>
          <w:b/>
          <w:bCs/>
          <w:color w:val="0D2240"/>
          <w:sz w:val="36"/>
          <w:szCs w:val="36"/>
        </w:rPr>
        <w:t xml:space="preserve">Regulation S vs. Rule 144A</w:t>
      </w:r>
    </w:p>
    <w:p>
      <w:pPr>
        <w:spacing w:before="80" w:after="80"/>
      </w:pPr>
      <w:r>
        <w:t xml:space="preserve"/>
      </w:r>
    </w:p>
    <w:p>
      <w:pPr>
        <w:spacing w:before="80" w:after="80"/>
        <w:jc w:val="both"/>
      </w:pPr>
      <w:r>
        <w:rPr>
          <w:rFonts w:ascii="Arial" w:cs="Arial" w:eastAsia="Arial" w:hAnsi="Arial"/>
          <w:color w:val="1A1A1A"/>
          <w:sz w:val="22"/>
          <w:szCs w:val="22"/>
        </w:rPr>
        <w:t xml:space="preserve">A escolha entre Reg S e 144A é uma das primeiras decisões estruturais em qualquer transação de dívida internacional. Ela determina quem pode investir, quais documentos são necessários, quanto custa e quanto tempo leva. Dominar essa escolha é essencial para qualquer profissional de DCM.</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4.1 O que são Reg S e Rule 144A?</w:t>
      </w:r>
    </w:p>
    <w:p>
      <w:pPr>
        <w:spacing w:before="80" w:after="80"/>
        <w:jc w:val="both"/>
      </w:pPr>
      <w:r>
        <w:rPr>
          <w:rFonts w:ascii="Arial" w:cs="Arial" w:eastAsia="Arial" w:hAnsi="Arial"/>
          <w:color w:val="1A1A1A"/>
          <w:sz w:val="22"/>
          <w:szCs w:val="22"/>
        </w:rPr>
        <w:t xml:space="preserve">Ambas são isenções de registro previstas na legislação de valores mobiliários dos Estados Unidos (Securities Act de 1933). Elas permitem que emissores não-americanos acessem o mercado de capitais sem passar pelo processo completo de registro público junto à SEC (Securities and Exchange Commission).</w:t>
      </w:r>
    </w:p>
    <w:p>
      <w:pPr>
        <w:spacing w:before="60" w:after="60"/>
      </w:pPr>
      <w:r>
        <w:t xml:space="preserve"/>
      </w:r>
    </w:p>
    <w:p>
      <w:pPr>
        <w:spacing w:before="80" w:after="80"/>
        <w:jc w:val="both"/>
      </w:pPr>
      <w:r>
        <w:rPr>
          <w:rFonts w:ascii="Arial" w:cs="Arial" w:eastAsia="Arial" w:hAnsi="Arial"/>
          <w:b/>
          <w:bCs/>
          <w:color w:val="1A1A1A"/>
          <w:sz w:val="22"/>
          <w:szCs w:val="22"/>
        </w:rPr>
        <w:t xml:space="preserve">Regulation S (Reg S): </w:t>
      </w:r>
      <w:r>
        <w:rPr>
          <w:rFonts w:ascii="Arial" w:cs="Arial" w:eastAsia="Arial" w:hAnsi="Arial"/>
          <w:color w:val="1A1A1A"/>
          <w:sz w:val="22"/>
          <w:szCs w:val="22"/>
        </w:rPr>
        <w:t xml:space="preserve">é uma isenção para 'transações offshore'. O emissor não pode fazer esforços diretos de venda nos EUA. Os investidores precisam estar domiciliados fora dos EUA. Os papéis são restritos por um período inicial (tipicamente 40 dias) antes de poderem ser negociados entre investidores não-americanos.</w:t>
      </w:r>
    </w:p>
    <w:p>
      <w:pPr>
        <w:spacing w:before="40" w:after="40"/>
      </w:pPr>
      <w:r>
        <w:t xml:space="preserve"/>
      </w:r>
    </w:p>
    <w:p>
      <w:pPr>
        <w:spacing w:before="80" w:after="80"/>
        <w:jc w:val="both"/>
      </w:pPr>
      <w:r>
        <w:rPr>
          <w:rFonts w:ascii="Arial" w:cs="Arial" w:eastAsia="Arial" w:hAnsi="Arial"/>
          <w:b/>
          <w:bCs/>
          <w:color w:val="1A1A1A"/>
          <w:sz w:val="22"/>
          <w:szCs w:val="22"/>
        </w:rPr>
        <w:t xml:space="preserve">Rule 144A: </w:t>
      </w:r>
      <w:r>
        <w:rPr>
          <w:rFonts w:ascii="Arial" w:cs="Arial" w:eastAsia="Arial" w:hAnsi="Arial"/>
          <w:color w:val="1A1A1A"/>
          <w:sz w:val="22"/>
          <w:szCs w:val="22"/>
        </w:rPr>
        <w:t xml:space="preserve">permite que investidores americanos qualificados (Qualified Institutional Buyers — QIBs) participem da transação. QIBs são geralmente grandes gestoras de recursos americanas, fundos de pensão, seguradoras, com carteira própria superior a US$ 100 milhões. A inclusão de 144A exige documentação adicional significativa, em particular um parecer legal (10b-5 opinion) e uma due diligence mais rigorosa.</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4.2 Comparativo detalhado Reg S vs. 144A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0C0C0" w:sz="1"/>
              <w:left w:val="single" w:color="C0C0C0" w:sz="1"/>
              <w:bottom w:val="single" w:color="C0C0C0" w:sz="1"/>
              <w:right w:val="single" w:color="C0C0C0" w:sz="1"/>
            </w:tcBorders>
            <w:shd w:fill="0D22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Dimensão</w:t>
            </w:r>
          </w:p>
        </w:tc>
        <w:tc>
          <w:tcPr>
            <w:tcW w:type="dxa" w:w="3480"/>
            <w:tcBorders>
              <w:top w:val="single" w:color="C0C0C0" w:sz="1"/>
              <w:left w:val="single" w:color="C0C0C0" w:sz="1"/>
              <w:bottom w:val="single" w:color="C0C0C0" w:sz="1"/>
              <w:right w:val="single" w:color="C0C0C0" w:sz="1"/>
            </w:tcBorders>
            <w:shd w:fill="0D22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Regulation S</w:t>
            </w:r>
          </w:p>
        </w:tc>
        <w:tc>
          <w:tcPr>
            <w:tcW w:type="dxa" w:w="3480"/>
            <w:tcBorders>
              <w:top w:val="single" w:color="C0C0C0" w:sz="1"/>
              <w:left w:val="single" w:color="C0C0C0" w:sz="1"/>
              <w:bottom w:val="single" w:color="C0C0C0" w:sz="1"/>
              <w:right w:val="single" w:color="C0C0C0" w:sz="1"/>
            </w:tcBorders>
            <w:shd w:fill="0D22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Rule 144A</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Público-alvo</w:t>
            </w:r>
          </w:p>
        </w:tc>
        <w:tc>
          <w:tcPr>
            <w:tcW w:type="dxa" w:w="34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Investidores não-americanos (Europa, Ásia, LatAm, Middle East)</w:t>
            </w:r>
          </w:p>
        </w:tc>
        <w:tc>
          <w:tcPr>
            <w:tcW w:type="dxa" w:w="34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Investidores americanos qualificados (QIBs) + não-americanos</w:t>
            </w:r>
          </w:p>
        </w:tc>
      </w:tr>
      <w:tr>
        <w:tc>
          <w:tcPr>
            <w:tcW w:type="dxa" w:w="2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Documentação principal</w:t>
            </w:r>
          </w:p>
        </w:tc>
        <w:tc>
          <w:tcPr>
            <w:tcW w:type="dxa" w:w="348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Offering Memorandum, Placement Agreement, Indenture ou Fiscal Agency Agreement, Limited Review</w:t>
            </w:r>
          </w:p>
        </w:tc>
        <w:tc>
          <w:tcPr>
            <w:tcW w:type="dxa" w:w="348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Todos os docs Reg S + 10b-5 comfort letter + Legal Opinions + Indenture (obrigatória, sem fiscal agency)</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Parecer legal especial</w:t>
            </w:r>
          </w:p>
        </w:tc>
        <w:tc>
          <w:tcPr>
            <w:tcW w:type="dxa" w:w="34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Não requerido</w:t>
            </w:r>
          </w:p>
        </w:tc>
        <w:tc>
          <w:tcPr>
            <w:tcW w:type="dxa" w:w="34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10b-5 Opinion obrigatória — confirma due diligence completa e ausência de omissões materiais no OM</w:t>
            </w:r>
          </w:p>
        </w:tc>
      </w:tr>
      <w:tr>
        <w:tc>
          <w:tcPr>
            <w:tcW w:type="dxa" w:w="2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Custo legal estimado</w:t>
            </w:r>
          </w:p>
        </w:tc>
        <w:tc>
          <w:tcPr>
            <w:tcW w:type="dxa" w:w="348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Deal Counsel único: US$ 100–150k. Dois counsels (emissor + banco): US$ 200–250k</w:t>
            </w:r>
          </w:p>
        </w:tc>
        <w:tc>
          <w:tcPr>
            <w:tcW w:type="dxa" w:w="348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Dois counsels: US$ 400–600k</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Timeline típico</w:t>
            </w:r>
          </w:p>
        </w:tc>
        <w:tc>
          <w:tcPr>
            <w:tcW w:type="dxa" w:w="34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4–8 semanas</w:t>
            </w:r>
          </w:p>
        </w:tc>
        <w:tc>
          <w:tcPr>
            <w:tcW w:type="dxa" w:w="34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10–12 semanas</w:t>
            </w:r>
          </w:p>
        </w:tc>
      </w:tr>
      <w:tr>
        <w:tc>
          <w:tcPr>
            <w:tcW w:type="dxa" w:w="2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Tamanho típico</w:t>
            </w:r>
          </w:p>
        </w:tc>
        <w:tc>
          <w:tcPr>
            <w:tcW w:type="dxa" w:w="348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US$ 20MM – US$ 200MM</w:t>
            </w:r>
          </w:p>
        </w:tc>
        <w:tc>
          <w:tcPr>
            <w:tcW w:type="dxa" w:w="348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US$ 200MM+ (QIBs demandam liquidez secundária garantida)</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Listagem</w:t>
            </w:r>
          </w:p>
        </w:tc>
        <w:tc>
          <w:tcPr>
            <w:tcW w:type="dxa" w:w="34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Euronext Dublin, LSE ou outro exchange europeu</w:t>
            </w:r>
          </w:p>
        </w:tc>
        <w:tc>
          <w:tcPr>
            <w:tcW w:type="dxa" w:w="34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Idem, com ISIN dual (para Reg S e 144A)</w:t>
            </w:r>
          </w:p>
        </w:tc>
      </w:tr>
      <w:tr>
        <w:tc>
          <w:tcPr>
            <w:tcW w:type="dxa" w:w="2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Restrição de venda nos EUA</w:t>
            </w:r>
          </w:p>
        </w:tc>
        <w:tc>
          <w:tcPr>
            <w:tcW w:type="dxa" w:w="348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Sim — 40 dias de lockup para Reg S notes</w:t>
            </w:r>
          </w:p>
        </w:tc>
        <w:tc>
          <w:tcPr>
            <w:tcW w:type="dxa" w:w="348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Não — QIBs podem negociar livremente entre si</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Negociação secundária</w:t>
            </w:r>
          </w:p>
        </w:tc>
        <w:tc>
          <w:tcPr>
            <w:tcW w:type="dxa" w:w="34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Bloomberg / Reuters — restrito a não-americanos</w:t>
            </w:r>
          </w:p>
        </w:tc>
        <w:tc>
          <w:tcPr>
            <w:tcW w:type="dxa" w:w="34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Bloomberg / Reuters — aberto a QIBs americanos</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4.3 Regra prática de decisão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160"/>
              <w:bottom w:type="dxa" w:w="60"/>
              <w:right w:type="dxa" w:w="160"/>
            </w:tcMar>
          </w:tcPr>
          <w:p>
            <w:r>
              <w:rPr>
                <w:rFonts w:ascii="Arial" w:cs="Arial" w:eastAsia="Arial" w:hAnsi="Arial"/>
                <w:b/>
                <w:bCs/>
                <w:color w:val="0D2240"/>
                <w:sz w:val="22"/>
                <w:szCs w:val="22"/>
              </w:rPr>
              <w:t xml:space="preserve">REGRA DE OURO — QUANDO USAR REG S VS. 144A</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Para transações de até US$ 200MM: use Reg S only. Os QIBs americanos geralmente só participam</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de transações com liquidez secundária garantida, o que requer volume mínimo de US$ 200MM+.</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Para transações abaixo desse threshold, o custo adicional do 144A (US$ 200–350k extra em honorários</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legais, mais 4–6 semanas de processo) raramente se justifica pelo incremento marginal de demanda.</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Para transações de US$ 300MM+: considere Reg S/144A para maximizar o pool de investidores,</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garantir liquidez secundária mais robusta e potencialmente obter precificação mais competitiva.</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4.4 O que é a 10b-5 Opinion?</w:t>
      </w:r>
    </w:p>
    <w:p>
      <w:pPr>
        <w:spacing w:before="80" w:after="80"/>
        <w:jc w:val="both"/>
      </w:pPr>
      <w:r>
        <w:rPr>
          <w:rFonts w:ascii="Arial" w:cs="Arial" w:eastAsia="Arial" w:hAnsi="Arial"/>
          <w:color w:val="1A1A1A"/>
          <w:sz w:val="22"/>
          <w:szCs w:val="22"/>
        </w:rPr>
        <w:t xml:space="preserve">Trata-se de um parecer emitido pelo counsel do banco (e às vezes também pelo counsel do emissor), que atesta que o processo de due diligence foi conduzido de forma completa e que o Offering Memorandum não contém omissões ou informações falsas materiais. Esse parecer é exigido pela Rule 10b-5 do Securities Exchange Act de 1934 — daí o nome.</w:t>
      </w:r>
    </w:p>
    <w:p>
      <w:pPr>
        <w:spacing w:before="40" w:after="40"/>
      </w:pPr>
      <w:r>
        <w:t xml:space="preserve"/>
      </w:r>
    </w:p>
    <w:p>
      <w:pPr>
        <w:spacing w:before="80" w:after="80"/>
        <w:jc w:val="both"/>
      </w:pPr>
      <w:r>
        <w:rPr>
          <w:rFonts w:ascii="Arial" w:cs="Arial" w:eastAsia="Arial" w:hAnsi="Arial"/>
          <w:color w:val="1A1A1A"/>
          <w:sz w:val="22"/>
          <w:szCs w:val="22"/>
        </w:rPr>
        <w:t xml:space="preserve">Do ponto de vista prático, a 10b-5 opinion exige que os advogados revisem extensamente os documentos financeiros, contratos, licenças, litígios e demais informações do emissor. Isso é o que justifica o custo e o tempo adicionais de uma estrutura 144A.</w:t>
      </w:r>
    </w:p>
    <w:p>
      <w:r>
        <w:br w:type="page"/>
      </w:r>
    </w:p>
    <w:p>
      <w:pPr>
        <w:pStyle w:val="Heading1"/>
        <w:spacing w:before="480" w:after="200"/>
      </w:pPr>
      <w:r>
        <w:rPr>
          <w:rFonts w:ascii="Arial" w:cs="Arial" w:eastAsia="Arial" w:hAnsi="Arial"/>
          <w:b/>
          <w:bCs/>
          <w:color w:val="0D2240"/>
          <w:sz w:val="36"/>
          <w:szCs w:val="36"/>
        </w:rPr>
        <w:t xml:space="preserve">Capítulo 5</w:t>
      </w:r>
    </w:p>
    <w:p>
      <w:pPr>
        <w:pBdr>
          <w:bottom w:val="single" w:color="B8912A" w:sz="4" w:space="4"/>
        </w:pBdr>
        <w:spacing w:before="360" w:after="120"/>
      </w:pPr>
      <w:r>
        <w:rPr>
          <w:rFonts w:ascii="Arial" w:cs="Arial" w:eastAsia="Arial" w:hAnsi="Arial"/>
          <w:b/>
          <w:bCs/>
          <w:color w:val="0D2240"/>
          <w:sz w:val="36"/>
          <w:szCs w:val="36"/>
        </w:rPr>
        <w:t xml:space="preserve">Standalone vs. Programa (ECP e EMTN)</w:t>
      </w:r>
    </w:p>
    <w:p>
      <w:pPr>
        <w:spacing w:before="80" w:after="80"/>
      </w:pPr>
      <w:r>
        <w:t xml:space="preserve"/>
      </w:r>
    </w:p>
    <w:p>
      <w:pPr>
        <w:spacing w:before="80" w:after="80"/>
        <w:jc w:val="both"/>
      </w:pPr>
      <w:r>
        <w:rPr>
          <w:rFonts w:ascii="Arial" w:cs="Arial" w:eastAsia="Arial" w:hAnsi="Arial"/>
          <w:color w:val="1A1A1A"/>
          <w:sz w:val="22"/>
          <w:szCs w:val="22"/>
        </w:rPr>
        <w:t xml:space="preserve">Após decidir o formato regulatório (Reg S ou 144A), o próximo passo é escolher entre uma emissão standalone e o estabelecimento de um programa de emissão. Esta é uma decisão estratégica que vai além do custo imediato — ela define a capacidade futura de acesso ao mercado.</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5.1 Emissão Standalone</w:t>
      </w:r>
    </w:p>
    <w:p>
      <w:pPr>
        <w:spacing w:before="80" w:after="80"/>
        <w:jc w:val="both"/>
      </w:pPr>
      <w:r>
        <w:rPr>
          <w:rFonts w:ascii="Arial" w:cs="Arial" w:eastAsia="Arial" w:hAnsi="Arial"/>
          <w:color w:val="1A1A1A"/>
          <w:sz w:val="22"/>
          <w:szCs w:val="22"/>
        </w:rPr>
        <w:t xml:space="preserve">Uma emissão standalone é uma transação única e independente. Cada nova emissão requer a elaboração de um novo Offering Memorandum completo, a contratação de assessores legais do zero, e o cumprimento integral dos processos regulatórios.</w:t>
      </w:r>
    </w:p>
    <w:p>
      <w:pPr>
        <w:spacing w:before="60" w:after="60"/>
      </w:pPr>
      <w:r>
        <w:t xml:space="preserve"/>
      </w:r>
    </w:p>
    <w:p>
      <w:pPr>
        <w:pStyle w:val="ListParagraph"/>
        <w:numPr>
          <w:ilvl w:val="0"/>
          <w:numId w:val="2"/>
        </w:numPr>
        <w:spacing w:before="60" w:after="60"/>
      </w:pPr>
      <w:r>
        <w:rPr>
          <w:rFonts w:ascii="Arial" w:cs="Arial" w:eastAsia="Arial" w:hAnsi="Arial"/>
          <w:b/>
          <w:bCs/>
          <w:color w:val="0D2240"/>
          <w:sz w:val="22"/>
          <w:szCs w:val="22"/>
        </w:rPr>
        <w:t xml:space="preserve">Vantagem: </w:t>
      </w:r>
      <w:r>
        <w:rPr>
          <w:rFonts w:ascii="Arial" w:cs="Arial" w:eastAsia="Arial" w:hAnsi="Arial"/>
          <w:sz w:val="22"/>
          <w:szCs w:val="22"/>
        </w:rPr>
        <w:t xml:space="preserve">menor custo fixo inicial — adequado para emissores que planejam acessar o mercado com baixa frequência.</w:t>
      </w:r>
    </w:p>
    <w:p>
      <w:pPr>
        <w:pStyle w:val="ListParagraph"/>
        <w:numPr>
          <w:ilvl w:val="0"/>
          <w:numId w:val="2"/>
        </w:numPr>
        <w:spacing w:before="60" w:after="60"/>
      </w:pPr>
      <w:r>
        <w:rPr>
          <w:rFonts w:ascii="Arial" w:cs="Arial" w:eastAsia="Arial" w:hAnsi="Arial"/>
          <w:b/>
          <w:bCs/>
          <w:color w:val="0D2240"/>
          <w:sz w:val="22"/>
          <w:szCs w:val="22"/>
        </w:rPr>
        <w:t xml:space="preserve">Desvantagem: </w:t>
      </w:r>
      <w:r>
        <w:rPr>
          <w:rFonts w:ascii="Arial" w:cs="Arial" w:eastAsia="Arial" w:hAnsi="Arial"/>
          <w:sz w:val="22"/>
          <w:szCs w:val="22"/>
        </w:rPr>
        <w:t xml:space="preserve">cada transação recomeça do zero. Não há framework pré-aprovado. Custos e prazos são repetidos integralmente a cada nova emissão.</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5.2 Euro Commercial Paper (ECP) — O Programa de Curto Prazo</w:t>
      </w:r>
    </w:p>
    <w:p>
      <w:pPr>
        <w:spacing w:before="80" w:after="80"/>
        <w:jc w:val="both"/>
      </w:pPr>
      <w:r>
        <w:rPr>
          <w:rFonts w:ascii="Arial" w:cs="Arial" w:eastAsia="Arial" w:hAnsi="Arial"/>
          <w:color w:val="1A1A1A"/>
          <w:sz w:val="22"/>
          <w:szCs w:val="22"/>
        </w:rPr>
        <w:t xml:space="preserve">O ECP é um programa de emissão de papéis de curto prazo (até 12 meses) que cria um framework legal pré-estabelecido, permitindo emissões recorrentes com prazo de execução de 1–2 semanas após o setup inicial.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160"/>
              <w:bottom w:type="dxa" w:w="60"/>
              <w:right w:type="dxa" w:w="160"/>
            </w:tcMar>
          </w:tcPr>
          <w:p>
            <w:r>
              <w:rPr>
                <w:rFonts w:ascii="Arial" w:cs="Arial" w:eastAsia="Arial" w:hAnsi="Arial"/>
                <w:b/>
                <w:bCs/>
                <w:color w:val="0D2240"/>
                <w:sz w:val="22"/>
                <w:szCs w:val="22"/>
              </w:rPr>
              <w:t xml:space="preserve">CARACTERÍSTICAS ESSENCIAIS DO ECP</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 Tenor: até 12 meses</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 Custo de estabelecimento: US$ 50k–60k (relativamente baixo)</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 Timeline de setup: 4–6 semanas (Reg S)</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 Emissões subsequentes: 1–2 semanas</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 Estrutura: zero coupon, emitido com deságio sobre o par (Original Issue Discount — OID)</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 Tamanho mínimo: US$ 20MM por tranche</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 Covenants: geralmente ausentes ou mínimos</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 Moeda: multi-currency (USD, EUR, etc.)</w:t>
            </w:r>
          </w:p>
        </w:tc>
      </w:tr>
    </w:tbl>
    <w:p>
      <w:pPr>
        <w:spacing w:before="80" w:after="80"/>
      </w:pPr>
      <w:r>
        <w:t xml:space="preserve"/>
      </w:r>
    </w:p>
    <w:p>
      <w:pPr>
        <w:pStyle w:val="Heading3"/>
        <w:spacing w:before="240" w:after="120"/>
      </w:pPr>
      <w:r>
        <w:rPr>
          <w:rFonts w:ascii="Arial" w:cs="Arial" w:eastAsia="Arial" w:hAnsi="Arial"/>
          <w:b/>
          <w:bCs/>
          <w:color w:val="0D2240"/>
          <w:sz w:val="24"/>
          <w:szCs w:val="24"/>
        </w:rPr>
        <w:t xml:space="preserve">Por que o ECP é ideal para o JBJ na Fase 1?</w:t>
      </w:r>
    </w:p>
    <w:p>
      <w:pPr>
        <w:pStyle w:val="ListParagraph"/>
        <w:numPr>
          <w:ilvl w:val="0"/>
          <w:numId w:val="2"/>
        </w:numPr>
        <w:spacing w:before="60" w:after="60"/>
      </w:pPr>
      <w:r>
        <w:rPr>
          <w:rFonts w:ascii="Arial" w:cs="Arial" w:eastAsia="Arial" w:hAnsi="Arial"/>
          <w:sz w:val="22"/>
          <w:szCs w:val="22"/>
        </w:rPr>
        <w:t xml:space="preserve">A sazonalidade das operações agropecuárias cria necessidades de capital de giro específicas e previsíveis — o ECP pode ser ativado nas janelas corretas do calendário agrícola</w:t>
      </w:r>
    </w:p>
    <w:p>
      <w:pPr>
        <w:pStyle w:val="ListParagraph"/>
        <w:numPr>
          <w:ilvl w:val="0"/>
          <w:numId w:val="2"/>
        </w:numPr>
        <w:spacing w:before="60" w:after="60"/>
      </w:pPr>
      <w:r>
        <w:rPr>
          <w:rFonts w:ascii="Arial" w:cs="Arial" w:eastAsia="Arial" w:hAnsi="Arial"/>
          <w:sz w:val="22"/>
          <w:szCs w:val="22"/>
        </w:rPr>
        <w:t xml:space="preserve">A estrutura com deságio (OID) facilita o hedge para investidores, pois não há pagamento de cupom periódico</w:t>
      </w:r>
    </w:p>
    <w:p>
      <w:pPr>
        <w:pStyle w:val="ListParagraph"/>
        <w:numPr>
          <w:ilvl w:val="0"/>
          <w:numId w:val="2"/>
        </w:numPr>
        <w:spacing w:before="60" w:after="60"/>
      </w:pPr>
      <w:r>
        <w:rPr>
          <w:rFonts w:ascii="Arial" w:cs="Arial" w:eastAsia="Arial" w:hAnsi="Arial"/>
          <w:sz w:val="22"/>
          <w:szCs w:val="22"/>
        </w:rPr>
        <w:t xml:space="preserve">Custo de estabelecimento muito menor que o EMTN — ideal para testar o mercado antes de comprometer recursos maiores</w:t>
      </w:r>
    </w:p>
    <w:p>
      <w:pPr>
        <w:pStyle w:val="ListParagraph"/>
        <w:numPr>
          <w:ilvl w:val="0"/>
          <w:numId w:val="2"/>
        </w:numPr>
        <w:spacing w:before="60" w:after="60"/>
      </w:pPr>
      <w:r>
        <w:rPr>
          <w:rFonts w:ascii="Arial" w:cs="Arial" w:eastAsia="Arial" w:hAnsi="Arial"/>
          <w:sz w:val="22"/>
          <w:szCs w:val="22"/>
        </w:rPr>
        <w:t xml:space="preserve">Transações de ECP são geralmente privadas (private placement), com menor exposição pública e menor escrutínio</w:t>
      </w:r>
    </w:p>
    <w:p>
      <w:pPr>
        <w:pStyle w:val="ListParagraph"/>
        <w:numPr>
          <w:ilvl w:val="0"/>
          <w:numId w:val="2"/>
        </w:numPr>
        <w:spacing w:before="60" w:after="60"/>
      </w:pPr>
      <w:r>
        <w:rPr>
          <w:rFonts w:ascii="Arial" w:cs="Arial" w:eastAsia="Arial" w:hAnsi="Arial"/>
          <w:sz w:val="22"/>
          <w:szCs w:val="22"/>
        </w:rPr>
        <w:t xml:space="preserve">Desenvolve o relacionamento com private banking offshore e fundos de curto prazo que serão a base da Fase 2</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5.3 Euro Medium Term Note (EMTN) — O Programa de Médio Prazo</w:t>
      </w:r>
    </w:p>
    <w:p>
      <w:pPr>
        <w:spacing w:before="80" w:after="80"/>
        <w:jc w:val="both"/>
      </w:pPr>
      <w:r>
        <w:rPr>
          <w:rFonts w:ascii="Arial" w:cs="Arial" w:eastAsia="Arial" w:hAnsi="Arial"/>
          <w:color w:val="1A1A1A"/>
          <w:sz w:val="22"/>
          <w:szCs w:val="22"/>
        </w:rPr>
        <w:t xml:space="preserve">O EMTN é o programa mais sofisticado e versátil do arsenal de um profissional de DCM. É o instrumento de escolha para emissores frequentes que precisam de acesso ágil a diferentes mercados, tenores, moedas e tipos de instrumentos.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160"/>
              <w:bottom w:type="dxa" w:w="60"/>
              <w:right w:type="dxa" w:w="160"/>
            </w:tcMar>
          </w:tcPr>
          <w:p>
            <w:r>
              <w:rPr>
                <w:rFonts w:ascii="Arial" w:cs="Arial" w:eastAsia="Arial" w:hAnsi="Arial"/>
                <w:b/>
                <w:bCs/>
                <w:color w:val="0D2240"/>
                <w:sz w:val="22"/>
                <w:szCs w:val="22"/>
              </w:rPr>
              <w:t xml:space="preserve">CARACTERÍSTICAS ESSENCIAIS DO EMTN</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 Tenor: 2 a 10+ anos (inclui perpétuas e subordinadas)</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 Custo de estabelecimento: US$ 200k–300k</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 Timeline de setup: 6–8 semanas (Reg S); 10–12 semanas (Reg S/144A)</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 Emissões subsequentes: 1–2 semanas</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 Estrutura: bullet, amortizável, taxa fixa, variável, step-up, etc.</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 Permite AT1, Tier 2, Green Bonds, Sustainability-Linked Bonds sob o mesmo framework</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 Tamanho por tranche: desde US$ 20MM</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 Covenants: negociados por tranche</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5.4 Comparativo ECP vs. EMTN vs. Standalone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0C0C0" w:sz="1"/>
              <w:left w:val="single" w:color="C0C0C0" w:sz="1"/>
              <w:bottom w:val="single" w:color="C0C0C0" w:sz="1"/>
              <w:right w:val="single" w:color="C0C0C0" w:sz="1"/>
            </w:tcBorders>
            <w:shd w:fill="0D22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Dimensão</w:t>
            </w:r>
          </w:p>
        </w:tc>
        <w:tc>
          <w:tcPr>
            <w:tcW w:type="dxa" w:w="5960"/>
            <w:tcBorders>
              <w:top w:val="single" w:color="C0C0C0" w:sz="1"/>
              <w:left w:val="single" w:color="C0C0C0" w:sz="1"/>
              <w:bottom w:val="single" w:color="C0C0C0" w:sz="1"/>
              <w:right w:val="single" w:color="C0C0C0" w:sz="1"/>
            </w:tcBorders>
            <w:shd w:fill="0D22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Standalone  |  ECP  |  EMTN</w:t>
            </w:r>
          </w:p>
        </w:tc>
      </w:tr>
      <w:tr>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Custo de setup</w:t>
            </w:r>
          </w:p>
        </w:tc>
        <w:tc>
          <w:tcPr>
            <w:tcW w:type="dxa" w:w="5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N/A (por emissão)  |  US$ 50–60k  |  US$ 200–300k</w:t>
            </w:r>
          </w:p>
        </w:tc>
      </w:tr>
      <w:tr>
        <w:tc>
          <w:tcPr>
            <w:tcW w:type="dxa" w:w="3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Custo legal por emissão</w:t>
            </w:r>
          </w:p>
        </w:tc>
        <w:tc>
          <w:tcPr>
            <w:tcW w:type="dxa" w:w="596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US$ 100–250k  |  Mínimo  |  Mínimo</w:t>
            </w:r>
          </w:p>
        </w:tc>
      </w:tr>
      <w:tr>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Tenor disponível</w:t>
            </w:r>
          </w:p>
        </w:tc>
        <w:tc>
          <w:tcPr>
            <w:tcW w:type="dxa" w:w="5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Ilimitado  |  Até 12 meses  |  2–10+ anos</w:t>
            </w:r>
          </w:p>
        </w:tc>
      </w:tr>
      <w:tr>
        <w:tc>
          <w:tcPr>
            <w:tcW w:type="dxa" w:w="3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Velocidade após setup</w:t>
            </w:r>
          </w:p>
        </w:tc>
        <w:tc>
          <w:tcPr>
            <w:tcW w:type="dxa" w:w="596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6–12 semanas (sempre)  |  1–2 semanas  |  1–2 semanas</w:t>
            </w:r>
          </w:p>
        </w:tc>
      </w:tr>
      <w:tr>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Frequência ideal</w:t>
            </w:r>
          </w:p>
        </w:tc>
        <w:tc>
          <w:tcPr>
            <w:tcW w:type="dxa" w:w="5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Baixa (1x / 2–3 anos)  |  Alta (múltiplas/ano)  |  Média-Alta (2–4x/ano)</w:t>
            </w:r>
          </w:p>
        </w:tc>
      </w:tr>
      <w:tr>
        <w:tc>
          <w:tcPr>
            <w:tcW w:type="dxa" w:w="3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Covenants</w:t>
            </w:r>
          </w:p>
        </w:tc>
        <w:tc>
          <w:tcPr>
            <w:tcW w:type="dxa" w:w="596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Negociados caso a caso  |  Ausentes  |  Negociados por tranche</w:t>
            </w:r>
          </w:p>
        </w:tc>
      </w:tr>
      <w:tr>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Disclosure</w:t>
            </w:r>
          </w:p>
        </w:tc>
        <w:tc>
          <w:tcPr>
            <w:tcW w:type="dxa" w:w="5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OM completo a cada vez  |  Atualização periódica do programa  |  Atualização periódica do programa</w:t>
            </w:r>
          </w:p>
        </w:tc>
      </w:tr>
      <w:tr>
        <w:tc>
          <w:tcPr>
            <w:tcW w:type="dxa" w:w="3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Ideal para</w:t>
            </w:r>
          </w:p>
        </w:tc>
        <w:tc>
          <w:tcPr>
            <w:tcW w:type="dxa" w:w="596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Emissões de benchmark, estreia  |  Capital de giro, sazonalidade  |  Plataforma permanente de funding</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5.5 Vantagens estratégicas de um programa para o JBJ</w:t>
      </w:r>
    </w:p>
    <w:p>
      <w:pPr>
        <w:pStyle w:val="ListParagraph"/>
        <w:numPr>
          <w:ilvl w:val="0"/>
          <w:numId w:val="3"/>
        </w:numPr>
        <w:spacing w:before="60" w:after="60"/>
      </w:pPr>
      <w:r>
        <w:rPr>
          <w:rFonts w:ascii="Arial" w:cs="Arial" w:eastAsia="Arial" w:hAnsi="Arial"/>
          <w:sz w:val="22"/>
          <w:szCs w:val="22"/>
        </w:rPr>
        <w:t xml:space="preserve">Flexibilidade máxima: o programa permite emissões em diferentes tamanhos, tenores e moedas sem nova documentação completa.</w:t>
      </w:r>
    </w:p>
    <w:p>
      <w:pPr>
        <w:pStyle w:val="ListParagraph"/>
        <w:numPr>
          <w:ilvl w:val="0"/>
          <w:numId w:val="3"/>
        </w:numPr>
        <w:spacing w:before="60" w:after="60"/>
      </w:pPr>
      <w:r>
        <w:rPr>
          <w:rFonts w:ascii="Arial" w:cs="Arial" w:eastAsia="Arial" w:hAnsi="Arial"/>
          <w:sz w:val="22"/>
          <w:szCs w:val="22"/>
        </w:rPr>
        <w:t xml:space="preserve">Custo amortizado: os custos fixos de estabelecimento são diluídos ao longo de múltiplas emissões. Uma empresa que emite 4x por ano via ECP amortiza o custo de setup em poucos meses.</w:t>
      </w:r>
    </w:p>
    <w:p>
      <w:pPr>
        <w:pStyle w:val="ListParagraph"/>
        <w:numPr>
          <w:ilvl w:val="0"/>
          <w:numId w:val="3"/>
        </w:numPr>
        <w:spacing w:before="60" w:after="60"/>
      </w:pPr>
      <w:r>
        <w:rPr>
          <w:rFonts w:ascii="Arial" w:cs="Arial" w:eastAsia="Arial" w:hAnsi="Arial"/>
          <w:sz w:val="22"/>
          <w:szCs w:val="22"/>
        </w:rPr>
        <w:t xml:space="preserve">Velocidade de mercado: com um programa ativo, o JBJ pode aproveitar janelas favoráveis (queda de spreads, apetite de risco elevado) com execução em 1–2 semanas — velocidade impossível para emissões standalone.</w:t>
      </w:r>
    </w:p>
    <w:p>
      <w:pPr>
        <w:pStyle w:val="ListParagraph"/>
        <w:numPr>
          <w:ilvl w:val="0"/>
          <w:numId w:val="3"/>
        </w:numPr>
        <w:spacing w:before="60" w:after="60"/>
      </w:pPr>
      <w:r>
        <w:rPr>
          <w:rFonts w:ascii="Arial" w:cs="Arial" w:eastAsia="Arial" w:hAnsi="Arial"/>
          <w:sz w:val="22"/>
          <w:szCs w:val="22"/>
        </w:rPr>
        <w:t xml:space="preserve">Diversificação de base de investidores: o programa cria um mecanismo de acesso ao mercado global sem deslocar as fontes existentes de funding local.</w:t>
      </w:r>
    </w:p>
    <w:p>
      <w:pPr>
        <w:pStyle w:val="ListParagraph"/>
        <w:numPr>
          <w:ilvl w:val="0"/>
          <w:numId w:val="3"/>
        </w:numPr>
        <w:spacing w:before="60" w:after="60"/>
      </w:pPr>
      <w:r>
        <w:rPr>
          <w:rFonts w:ascii="Arial" w:cs="Arial" w:eastAsia="Arial" w:hAnsi="Arial"/>
          <w:sz w:val="22"/>
          <w:szCs w:val="22"/>
        </w:rPr>
        <w:t xml:space="preserve">Construção de perfil de crédito: cada emissão bem-sucedida reforça o track record offshore do emissor, contribuindo para melhorar as condições das emissões futuras.</w:t>
      </w:r>
    </w:p>
    <w:p>
      <w:r>
        <w:br w:type="page"/>
      </w:r>
    </w:p>
    <w:p>
      <w:pPr>
        <w:pStyle w:val="Heading1"/>
        <w:spacing w:before="480" w:after="200"/>
      </w:pPr>
      <w:r>
        <w:rPr>
          <w:rFonts w:ascii="Arial" w:cs="Arial" w:eastAsia="Arial" w:hAnsi="Arial"/>
          <w:b/>
          <w:bCs/>
          <w:color w:val="0D2240"/>
          <w:sz w:val="36"/>
          <w:szCs w:val="36"/>
        </w:rPr>
        <w:t xml:space="preserve">Capítulo 6</w:t>
      </w:r>
    </w:p>
    <w:p>
      <w:pPr>
        <w:pBdr>
          <w:bottom w:val="single" w:color="B8912A" w:sz="4" w:space="4"/>
        </w:pBdr>
        <w:spacing w:before="360" w:after="120"/>
      </w:pPr>
      <w:r>
        <w:rPr>
          <w:rFonts w:ascii="Arial" w:cs="Arial" w:eastAsia="Arial" w:hAnsi="Arial"/>
          <w:b/>
          <w:bCs/>
          <w:color w:val="0D2240"/>
          <w:sz w:val="36"/>
          <w:szCs w:val="36"/>
        </w:rPr>
        <w:t xml:space="preserve">O Roadshow Não-Negocial (Non-Deal Roadshow — NDR)</w:t>
      </w:r>
    </w:p>
    <w:p>
      <w:pPr>
        <w:spacing w:before="80" w:after="80"/>
      </w:pPr>
      <w:r>
        <w:t xml:space="preserve"/>
      </w:r>
    </w:p>
    <w:p>
      <w:pPr>
        <w:spacing w:before="80" w:after="80"/>
        <w:jc w:val="both"/>
      </w:pPr>
      <w:r>
        <w:rPr>
          <w:rFonts w:ascii="Arial" w:cs="Arial" w:eastAsia="Arial" w:hAnsi="Arial"/>
          <w:color w:val="1A1A1A"/>
          <w:sz w:val="22"/>
          <w:szCs w:val="22"/>
        </w:rPr>
        <w:t xml:space="preserve">O Non-Deal Roadshow (NDR) é uma das ferramentas mais poderosas — e frequentemente subutilizadas — no arsenal de um profissional de DCM. Para emissores de primeira viagem no mercado internacional, como o JBJ, o NDR é absolutamente indispensável.</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6.1 O que é um NDR?</w:t>
      </w:r>
    </w:p>
    <w:p>
      <w:pPr>
        <w:spacing w:before="80" w:after="80"/>
        <w:jc w:val="both"/>
      </w:pPr>
      <w:r>
        <w:rPr>
          <w:rFonts w:ascii="Arial" w:cs="Arial" w:eastAsia="Arial" w:hAnsi="Arial"/>
          <w:color w:val="1A1A1A"/>
          <w:sz w:val="22"/>
          <w:szCs w:val="22"/>
        </w:rPr>
        <w:t xml:space="preserve">Um NDR é uma série de reuniões entre a gestão do emissor e investidores institucionais internacionais, sem que haja uma transação em andamento. O objetivo não é vender um papel agora — é apresentar a empresa, contar sua história e ouvir o que o mercado pensa.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160"/>
              <w:bottom w:type="dxa" w:w="60"/>
              <w:right w:type="dxa" w:w="160"/>
            </w:tcMar>
          </w:tcPr>
          <w:p>
            <w:r>
              <w:rPr>
                <w:rFonts w:ascii="Arial" w:cs="Arial" w:eastAsia="Arial" w:hAnsi="Arial"/>
                <w:b/>
                <w:bCs/>
                <w:color w:val="0D2240"/>
                <w:sz w:val="22"/>
                <w:szCs w:val="22"/>
              </w:rPr>
              <w:t xml:space="preserve">NDR vs. ROADSHOW DE EMISSÃO</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NDR (Non-Deal Roadshow): sem transação ativa, sem livro de ordens, sem precificação.</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O foco é na educação do investidor e na construção de relacionamento.</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Roadshow de Emissão (Deal Roadshow): ocorre imediatamente antes de uma emissão.</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O livro de ordens está aberto. Os investidores fazem suas propostas de compra (ordens).</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O timing é de 2–5 dias entre o início do roadshow e a precificação.</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Regra prática: para emissores de primeira viagem, nunca execute um Deal Roadshow</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sem antes ter feito ao menos um NDR. A diferença em qualidade de demanda e</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precificação é expressiva.</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6.2 Formato e logística de um NDR</w:t>
      </w:r>
    </w:p>
    <w:p>
      <w:pPr>
        <w:pStyle w:val="ListParagraph"/>
        <w:numPr>
          <w:ilvl w:val="0"/>
          <w:numId w:val="2"/>
        </w:numPr>
        <w:spacing w:before="60" w:after="60"/>
      </w:pPr>
      <w:r>
        <w:rPr>
          <w:rFonts w:ascii="Arial" w:cs="Arial" w:eastAsia="Arial" w:hAnsi="Arial"/>
          <w:b/>
          <w:bCs/>
          <w:color w:val="0D2240"/>
          <w:sz w:val="22"/>
          <w:szCs w:val="22"/>
        </w:rPr>
        <w:t xml:space="preserve">Duração típica: </w:t>
      </w:r>
      <w:r>
        <w:rPr>
          <w:rFonts w:ascii="Arial" w:cs="Arial" w:eastAsia="Arial" w:hAnsi="Arial"/>
          <w:sz w:val="22"/>
          <w:szCs w:val="22"/>
        </w:rPr>
        <w:t xml:space="preserve">3–5 dias de reuniões, geralmente em 2 cidades principais (ex: Nova York + Londres, ou Nova York + Zurique).</w:t>
      </w:r>
    </w:p>
    <w:p>
      <w:pPr>
        <w:pStyle w:val="ListParagraph"/>
        <w:numPr>
          <w:ilvl w:val="0"/>
          <w:numId w:val="2"/>
        </w:numPr>
        <w:spacing w:before="60" w:after="60"/>
      </w:pPr>
      <w:r>
        <w:rPr>
          <w:rFonts w:ascii="Arial" w:cs="Arial" w:eastAsia="Arial" w:hAnsi="Arial"/>
          <w:b/>
          <w:bCs/>
          <w:color w:val="0D2240"/>
          <w:sz w:val="22"/>
          <w:szCs w:val="22"/>
        </w:rPr>
        <w:t xml:space="preserve">Formato: </w:t>
      </w:r>
      <w:r>
        <w:rPr>
          <w:rFonts w:ascii="Arial" w:cs="Arial" w:eastAsia="Arial" w:hAnsi="Arial"/>
          <w:sz w:val="22"/>
          <w:szCs w:val="22"/>
        </w:rPr>
        <w:t xml:space="preserve">reuniões 1-on-1 com gestoras (50–90 min cada), podendo incluir pequenos group meetings (3–6 fundos simultaneamente).</w:t>
      </w:r>
    </w:p>
    <w:p>
      <w:pPr>
        <w:pStyle w:val="ListParagraph"/>
        <w:numPr>
          <w:ilvl w:val="0"/>
          <w:numId w:val="2"/>
        </w:numPr>
        <w:spacing w:before="60" w:after="60"/>
      </w:pPr>
      <w:r>
        <w:rPr>
          <w:rFonts w:ascii="Arial" w:cs="Arial" w:eastAsia="Arial" w:hAnsi="Arial"/>
          <w:b/>
          <w:bCs/>
          <w:color w:val="0D2240"/>
          <w:sz w:val="22"/>
          <w:szCs w:val="22"/>
        </w:rPr>
        <w:t xml:space="preserve">Participantes do emissor: </w:t>
      </w:r>
      <w:r>
        <w:rPr>
          <w:rFonts w:ascii="Arial" w:cs="Arial" w:eastAsia="Arial" w:hAnsi="Arial"/>
          <w:sz w:val="22"/>
          <w:szCs w:val="22"/>
        </w:rPr>
        <w:t xml:space="preserve">CEO e/ou CFO são essenciais. Diretor de Relações com Investidores (RI), Diretor de Exportações e um especialista em ESG, se disponível.</w:t>
      </w:r>
    </w:p>
    <w:p>
      <w:pPr>
        <w:pStyle w:val="ListParagraph"/>
        <w:numPr>
          <w:ilvl w:val="0"/>
          <w:numId w:val="2"/>
        </w:numPr>
        <w:spacing w:before="60" w:after="60"/>
      </w:pPr>
      <w:r>
        <w:rPr>
          <w:rFonts w:ascii="Arial" w:cs="Arial" w:eastAsia="Arial" w:hAnsi="Arial"/>
          <w:b/>
          <w:bCs/>
          <w:color w:val="0D2240"/>
          <w:sz w:val="22"/>
          <w:szCs w:val="22"/>
        </w:rPr>
        <w:t xml:space="preserve">Participantes investidores-alvo: </w:t>
      </w:r>
      <w:r>
        <w:rPr>
          <w:rFonts w:ascii="Arial" w:cs="Arial" w:eastAsia="Arial" w:hAnsi="Arial"/>
          <w:sz w:val="22"/>
          <w:szCs w:val="22"/>
        </w:rPr>
        <w:t xml:space="preserve">EM-focused funds (ex: Ashmore, Bluebay, PIMCO EM, Franklin Templeton EM), frontier funds, ESG investors. Foco em EUA e Europa no primeiro ciclo.</w:t>
      </w:r>
    </w:p>
    <w:p>
      <w:pPr>
        <w:pStyle w:val="ListParagraph"/>
        <w:numPr>
          <w:ilvl w:val="0"/>
          <w:numId w:val="2"/>
        </w:numPr>
        <w:spacing w:before="60" w:after="60"/>
      </w:pPr>
      <w:r>
        <w:rPr>
          <w:rFonts w:ascii="Arial" w:cs="Arial" w:eastAsia="Arial" w:hAnsi="Arial"/>
          <w:b/>
          <w:bCs/>
          <w:color w:val="0D2240"/>
          <w:sz w:val="22"/>
          <w:szCs w:val="22"/>
        </w:rPr>
        <w:t xml:space="preserve">Formato virtual vs. presencial: </w:t>
      </w:r>
      <w:r>
        <w:rPr>
          <w:rFonts w:ascii="Arial" w:cs="Arial" w:eastAsia="Arial" w:hAnsi="Arial"/>
          <w:sz w:val="22"/>
          <w:szCs w:val="22"/>
        </w:rPr>
        <w:t xml:space="preserve">NDRs virtuais são aceitos, especialmente para explorações iniciais de mercado. Presencial tem impacto mais forte para o relacionamento.</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6.3 O que apresentar em um NDR</w:t>
      </w:r>
    </w:p>
    <w:p>
      <w:pPr>
        <w:spacing w:before="80" w:after="80"/>
        <w:jc w:val="both"/>
      </w:pPr>
      <w:r>
        <w:rPr>
          <w:rFonts w:ascii="Arial" w:cs="Arial" w:eastAsia="Arial" w:hAnsi="Arial"/>
          <w:color w:val="1A1A1A"/>
          <w:sz w:val="22"/>
          <w:szCs w:val="22"/>
        </w:rPr>
        <w:t xml:space="preserve">O deck do NDR deve cobrir, de forma clara e objetiva:</w:t>
      </w:r>
    </w:p>
    <w:p>
      <w:pPr>
        <w:spacing w:before="60" w:after="60"/>
      </w:pPr>
      <w:r>
        <w:t xml:space="preserve"/>
      </w:r>
    </w:p>
    <w:p>
      <w:pPr>
        <w:pStyle w:val="ListParagraph"/>
        <w:numPr>
          <w:ilvl w:val="0"/>
          <w:numId w:val="3"/>
        </w:numPr>
        <w:spacing w:before="60" w:after="60"/>
      </w:pPr>
      <w:r>
        <w:rPr>
          <w:rFonts w:ascii="Arial" w:cs="Arial" w:eastAsia="Arial" w:hAnsi="Arial"/>
          <w:sz w:val="22"/>
          <w:szCs w:val="22"/>
        </w:rPr>
        <w:t xml:space="preserve">Visão geral da empresa: histórico, estrutura corporativa, operações, geografias de atuação.</w:t>
      </w:r>
    </w:p>
    <w:p>
      <w:pPr>
        <w:pStyle w:val="ListParagraph"/>
        <w:numPr>
          <w:ilvl w:val="0"/>
          <w:numId w:val="3"/>
        </w:numPr>
        <w:spacing w:before="60" w:after="60"/>
      </w:pPr>
      <w:r>
        <w:rPr>
          <w:rFonts w:ascii="Arial" w:cs="Arial" w:eastAsia="Arial" w:hAnsi="Arial"/>
          <w:sz w:val="22"/>
          <w:szCs w:val="22"/>
        </w:rPr>
        <w:t xml:space="preserve">Modelo de negócios e estratégia: como a empresa ganha dinheiro, quais são suas vantagens competitivas.</w:t>
      </w:r>
    </w:p>
    <w:p>
      <w:pPr>
        <w:pStyle w:val="ListParagraph"/>
        <w:numPr>
          <w:ilvl w:val="0"/>
          <w:numId w:val="3"/>
        </w:numPr>
        <w:spacing w:before="60" w:after="60"/>
      </w:pPr>
      <w:r>
        <w:rPr>
          <w:rFonts w:ascii="Arial" w:cs="Arial" w:eastAsia="Arial" w:hAnsi="Arial"/>
          <w:sz w:val="22"/>
          <w:szCs w:val="22"/>
        </w:rPr>
        <w:t xml:space="preserve">Perfil de exportações: para onde exporta, em quais moedas, com quem (clientes âncora).</w:t>
      </w:r>
    </w:p>
    <w:p>
      <w:pPr>
        <w:pStyle w:val="ListParagraph"/>
        <w:numPr>
          <w:ilvl w:val="0"/>
          <w:numId w:val="3"/>
        </w:numPr>
        <w:spacing w:before="60" w:after="60"/>
      </w:pPr>
      <w:r>
        <w:rPr>
          <w:rFonts w:ascii="Arial" w:cs="Arial" w:eastAsia="Arial" w:hAnsi="Arial"/>
          <w:sz w:val="22"/>
          <w:szCs w:val="22"/>
        </w:rPr>
        <w:t xml:space="preserve">Sazonalidade e perfil de fluxo de caixa: quando entram os recursos, como é o ciclo de caixa ao longo do ano.</w:t>
      </w:r>
    </w:p>
    <w:p>
      <w:pPr>
        <w:pStyle w:val="ListParagraph"/>
        <w:numPr>
          <w:ilvl w:val="0"/>
          <w:numId w:val="3"/>
        </w:numPr>
        <w:spacing w:before="60" w:after="60"/>
      </w:pPr>
      <w:r>
        <w:rPr>
          <w:rFonts w:ascii="Arial" w:cs="Arial" w:eastAsia="Arial" w:hAnsi="Arial"/>
          <w:sz w:val="22"/>
          <w:szCs w:val="22"/>
        </w:rPr>
        <w:t xml:space="preserve">Destaques financeiros: receita, EBITDA, alavancagem, geração de caixa livre, estrutura da dívida atual.</w:t>
      </w:r>
    </w:p>
    <w:p>
      <w:pPr>
        <w:pStyle w:val="ListParagraph"/>
        <w:numPr>
          <w:ilvl w:val="0"/>
          <w:numId w:val="3"/>
        </w:numPr>
        <w:spacing w:before="60" w:after="60"/>
      </w:pPr>
      <w:r>
        <w:rPr>
          <w:rFonts w:ascii="Arial" w:cs="Arial" w:eastAsia="Arial" w:hAnsi="Arial"/>
          <w:sz w:val="22"/>
          <w:szCs w:val="22"/>
        </w:rPr>
        <w:t xml:space="preserve">Iniciativas ESG e sustentabilidade: cada vez mais relevante para o universo de investidores internacionais.</w:t>
      </w:r>
    </w:p>
    <w:p>
      <w:pPr>
        <w:pStyle w:val="ListParagraph"/>
        <w:numPr>
          <w:ilvl w:val="0"/>
          <w:numId w:val="3"/>
        </w:numPr>
        <w:spacing w:before="60" w:after="60"/>
      </w:pPr>
      <w:r>
        <w:rPr>
          <w:rFonts w:ascii="Arial" w:cs="Arial" w:eastAsia="Arial" w:hAnsi="Arial"/>
          <w:sz w:val="22"/>
          <w:szCs w:val="22"/>
        </w:rPr>
        <w:t xml:space="preserve">Uso dos recursos: para que será utilizado o capital captado (capex, capital de giro, refinanciamento).</w:t>
      </w:r>
    </w:p>
    <w:p>
      <w:pPr>
        <w:pStyle w:val="ListParagraph"/>
        <w:numPr>
          <w:ilvl w:val="0"/>
          <w:numId w:val="3"/>
        </w:numPr>
        <w:spacing w:before="60" w:after="60"/>
      </w:pPr>
      <w:r>
        <w:rPr>
          <w:rFonts w:ascii="Arial" w:cs="Arial" w:eastAsia="Arial" w:hAnsi="Arial"/>
          <w:sz w:val="22"/>
          <w:szCs w:val="22"/>
        </w:rPr>
        <w:t xml:space="preserve">Estratégia de acesso ao mercado: mostrar que a empresa tem uma visão de longo prazo, não apenas captação oportunista.</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6.4 Benefícios estratégicos do NDR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0C0C0" w:sz="1"/>
              <w:left w:val="single" w:color="C0C0C0" w:sz="1"/>
              <w:bottom w:val="single" w:color="C0C0C0" w:sz="1"/>
              <w:right w:val="single" w:color="C0C0C0" w:sz="1"/>
            </w:tcBorders>
            <w:shd w:fill="0D22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Benefício</w:t>
            </w:r>
          </w:p>
        </w:tc>
        <w:tc>
          <w:tcPr>
            <w:tcW w:type="dxa" w:w="5960"/>
            <w:tcBorders>
              <w:top w:val="single" w:color="C0C0C0" w:sz="1"/>
              <w:left w:val="single" w:color="C0C0C0" w:sz="1"/>
              <w:bottom w:val="single" w:color="C0C0C0" w:sz="1"/>
              <w:right w:val="single" w:color="C0C0C0" w:sz="1"/>
            </w:tcBorders>
            <w:shd w:fill="0D22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Impacto Prático</w:t>
            </w:r>
          </w:p>
        </w:tc>
      </w:tr>
      <w:tr>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Credibilidade pré-emissão</w:t>
            </w:r>
          </w:p>
        </w:tc>
        <w:tc>
          <w:tcPr>
            <w:tcW w:type="dxa" w:w="5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Investidores que já conhecem o emissor tendem a dar ordens maiores e mais agressivas no pricing do deal.</w:t>
            </w:r>
          </w:p>
        </w:tc>
      </w:tr>
      <w:tr>
        <w:tc>
          <w:tcPr>
            <w:tcW w:type="dxa" w:w="3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Redução do risco de execução</w:t>
            </w:r>
          </w:p>
        </w:tc>
        <w:tc>
          <w:tcPr>
            <w:tcW w:type="dxa" w:w="596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O bookrunner pode identificar âncoras antes de abrir o livro, aumentando a probabilidade de sucesso.</w:t>
            </w:r>
          </w:p>
        </w:tc>
      </w:tr>
      <w:tr>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Descoberta de preço real</w:t>
            </w:r>
          </w:p>
        </w:tc>
        <w:tc>
          <w:tcPr>
            <w:tcW w:type="dxa" w:w="5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O feedback do NDR é o melhor indicador de onde o mercado está disposto a investir — mais preciso que qualquer modelo interno.</w:t>
            </w:r>
          </w:p>
        </w:tc>
      </w:tr>
      <w:tr>
        <w:tc>
          <w:tcPr>
            <w:tcW w:type="dxa" w:w="3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Identificação de preocupações</w:t>
            </w:r>
          </w:p>
        </w:tc>
        <w:tc>
          <w:tcPr>
            <w:tcW w:type="dxa" w:w="596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Investidores podem apontar riscos que a gestão não havia considerado, permitindo ajustes no OM ou na narrativa.</w:t>
            </w:r>
          </w:p>
        </w:tc>
      </w:tr>
      <w:tr>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Base para retap ou próxima emissão</w:t>
            </w:r>
          </w:p>
        </w:tc>
        <w:tc>
          <w:tcPr>
            <w:tcW w:type="dxa" w:w="5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Uma vez que os investidores conhecem o crédito, emissões futuras são muito mais fáceis de executar.</w:t>
            </w:r>
          </w:p>
        </w:tc>
      </w:tr>
    </w:tbl>
    <w:p>
      <w:r>
        <w:br w:type="page"/>
      </w:r>
    </w:p>
    <w:p>
      <w:pPr>
        <w:pStyle w:val="Heading1"/>
        <w:spacing w:before="480" w:after="200"/>
      </w:pPr>
      <w:r>
        <w:rPr>
          <w:rFonts w:ascii="Arial" w:cs="Arial" w:eastAsia="Arial" w:hAnsi="Arial"/>
          <w:b/>
          <w:bCs/>
          <w:color w:val="0D2240"/>
          <w:sz w:val="36"/>
          <w:szCs w:val="36"/>
        </w:rPr>
        <w:t xml:space="preserve">Capítulo 7</w:t>
      </w:r>
    </w:p>
    <w:p>
      <w:pPr>
        <w:pBdr>
          <w:bottom w:val="single" w:color="B8912A" w:sz="4" w:space="4"/>
        </w:pBdr>
        <w:spacing w:before="360" w:after="120"/>
      </w:pPr>
      <w:r>
        <w:rPr>
          <w:rFonts w:ascii="Arial" w:cs="Arial" w:eastAsia="Arial" w:hAnsi="Arial"/>
          <w:b/>
          <w:bCs/>
          <w:color w:val="0D2240"/>
          <w:sz w:val="36"/>
          <w:szCs w:val="36"/>
        </w:rPr>
        <w:t xml:space="preserve">Condições Indicativas para o Grupo JBJ</w:t>
      </w:r>
    </w:p>
    <w:p>
      <w:pPr>
        <w:spacing w:before="80" w:after="80"/>
      </w:pPr>
      <w:r>
        <w:t xml:space="preserve"/>
      </w:r>
    </w:p>
    <w:p>
      <w:pPr>
        <w:spacing w:before="80" w:after="80"/>
        <w:jc w:val="both"/>
      </w:pPr>
      <w:r>
        <w:rPr>
          <w:rFonts w:ascii="Arial" w:cs="Arial" w:eastAsia="Arial" w:hAnsi="Arial"/>
          <w:color w:val="1A1A1A"/>
          <w:sz w:val="22"/>
          <w:szCs w:val="22"/>
        </w:rPr>
        <w:t xml:space="preserve">Com base na análise do mercado e no perfil financeiro do Grupo JBJ, a BCP Securities apresentou as seguintes condições indicativas para cada tipo de instrumento. Este capítulo detalha os termos e explica cada parâmetro.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0C0C0" w:sz="1"/>
              <w:left w:val="single" w:color="C0C0C0" w:sz="1"/>
              <w:bottom w:val="single" w:color="C0C0C0" w:sz="1"/>
              <w:right w:val="single" w:color="C0C0C0" w:sz="1"/>
            </w:tcBorders>
            <w:shd w:fill="0D2240"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Parâmetro</w:t>
            </w:r>
          </w:p>
        </w:tc>
        <w:tc>
          <w:tcPr>
            <w:tcW w:type="dxa" w:w="2386"/>
            <w:tcBorders>
              <w:top w:val="single" w:color="C0C0C0" w:sz="1"/>
              <w:left w:val="single" w:color="C0C0C0" w:sz="1"/>
              <w:bottom w:val="single" w:color="C0C0C0" w:sz="1"/>
              <w:right w:val="single" w:color="C0C0C0" w:sz="1"/>
            </w:tcBorders>
            <w:shd w:fill="0D2240"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ECP (Fase 1)</w:t>
            </w:r>
          </w:p>
        </w:tc>
        <w:tc>
          <w:tcPr>
            <w:tcW w:type="dxa" w:w="2386"/>
            <w:tcBorders>
              <w:top w:val="single" w:color="C0C0C0" w:sz="1"/>
              <w:left w:val="single" w:color="C0C0C0" w:sz="1"/>
              <w:bottom w:val="single" w:color="C0C0C0" w:sz="1"/>
              <w:right w:val="single" w:color="C0C0C0" w:sz="1"/>
            </w:tcBorders>
            <w:shd w:fill="0D2240"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STN / EMTN (Fase 2)</w:t>
            </w:r>
          </w:p>
        </w:tc>
        <w:tc>
          <w:tcPr>
            <w:tcW w:type="dxa" w:w="2386"/>
            <w:tcBorders>
              <w:top w:val="single" w:color="C0C0C0" w:sz="1"/>
              <w:left w:val="single" w:color="C0C0C0" w:sz="1"/>
              <w:bottom w:val="single" w:color="C0C0C0" w:sz="1"/>
              <w:right w:val="single" w:color="C0C0C0" w:sz="1"/>
            </w:tcBorders>
            <w:shd w:fill="0D2240"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EMTN / Standalone (Fase 3)</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Tipo de nota</w:t>
            </w:r>
          </w:p>
        </w:tc>
        <w:tc>
          <w:tcPr>
            <w:tcW w:type="dxa" w:w="2386"/>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Euro Commercial Paper</w:t>
            </w:r>
          </w:p>
        </w:tc>
        <w:tc>
          <w:tcPr>
            <w:tcW w:type="dxa" w:w="2386"/>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Short-Term Note / EMTN</w:t>
            </w:r>
          </w:p>
        </w:tc>
        <w:tc>
          <w:tcPr>
            <w:tcW w:type="dxa" w:w="2386"/>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EMTN / Standalone</w:t>
            </w:r>
          </w:p>
        </w:tc>
      </w:tr>
      <w:tr>
        <w:tc>
          <w:tcPr>
            <w:tcW w:type="dxa" w:w="220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Formato regulatório</w:t>
            </w:r>
          </w:p>
        </w:tc>
        <w:tc>
          <w:tcPr>
            <w:tcW w:type="dxa" w:w="2386"/>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Reg S only</w:t>
            </w:r>
          </w:p>
        </w:tc>
        <w:tc>
          <w:tcPr>
            <w:tcW w:type="dxa" w:w="2386"/>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Reg S only</w:t>
            </w:r>
          </w:p>
        </w:tc>
        <w:tc>
          <w:tcPr>
            <w:tcW w:type="dxa" w:w="2386"/>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Reg S e/ou 144A</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Tenor</w:t>
            </w:r>
          </w:p>
        </w:tc>
        <w:tc>
          <w:tcPr>
            <w:tcW w:type="dxa" w:w="2386"/>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Até 1 ano</w:t>
            </w:r>
          </w:p>
        </w:tc>
        <w:tc>
          <w:tcPr>
            <w:tcW w:type="dxa" w:w="2386"/>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Até 3 anos</w:t>
            </w:r>
          </w:p>
        </w:tc>
        <w:tc>
          <w:tcPr>
            <w:tcW w:type="dxa" w:w="2386"/>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Até 5 anos</w:t>
            </w:r>
          </w:p>
        </w:tc>
      </w:tr>
      <w:tr>
        <w:tc>
          <w:tcPr>
            <w:tcW w:type="dxa" w:w="220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Tamanho sugerido</w:t>
            </w:r>
          </w:p>
        </w:tc>
        <w:tc>
          <w:tcPr>
            <w:tcW w:type="dxa" w:w="2386"/>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US$ 20MM+</w:t>
            </w:r>
          </w:p>
        </w:tc>
        <w:tc>
          <w:tcPr>
            <w:tcW w:type="dxa" w:w="2386"/>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US$ 100MM+</w:t>
            </w:r>
          </w:p>
        </w:tc>
        <w:tc>
          <w:tcPr>
            <w:tcW w:type="dxa" w:w="2386"/>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US$ 250–300MM+</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Yield indicativo</w:t>
            </w:r>
          </w:p>
        </w:tc>
        <w:tc>
          <w:tcPr>
            <w:tcW w:type="dxa" w:w="2386"/>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Mid 7s</w:t>
            </w:r>
          </w:p>
        </w:tc>
        <w:tc>
          <w:tcPr>
            <w:tcW w:type="dxa" w:w="2386"/>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8s Area</w:t>
            </w:r>
          </w:p>
        </w:tc>
        <w:tc>
          <w:tcPr>
            <w:tcW w:type="dxa" w:w="2386"/>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High 8s Area</w:t>
            </w:r>
          </w:p>
        </w:tc>
      </w:tr>
      <w:tr>
        <w:tc>
          <w:tcPr>
            <w:tcW w:type="dxa" w:w="220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Moeda</w:t>
            </w:r>
          </w:p>
        </w:tc>
        <w:tc>
          <w:tcPr>
            <w:tcW w:type="dxa" w:w="2386"/>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USD</w:t>
            </w:r>
          </w:p>
        </w:tc>
        <w:tc>
          <w:tcPr>
            <w:tcW w:type="dxa" w:w="2386"/>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USD</w:t>
            </w:r>
          </w:p>
        </w:tc>
        <w:tc>
          <w:tcPr>
            <w:tcW w:type="dxa" w:w="2386"/>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USD</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Ranking</w:t>
            </w:r>
          </w:p>
        </w:tc>
        <w:tc>
          <w:tcPr>
            <w:tcW w:type="dxa" w:w="2386"/>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Unsecured</w:t>
            </w:r>
          </w:p>
        </w:tc>
        <w:tc>
          <w:tcPr>
            <w:tcW w:type="dxa" w:w="2386"/>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Unsecured</w:t>
            </w:r>
          </w:p>
        </w:tc>
        <w:tc>
          <w:tcPr>
            <w:tcW w:type="dxa" w:w="2386"/>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Initially Unsecured</w:t>
            </w:r>
          </w:p>
        </w:tc>
      </w:tr>
      <w:tr>
        <w:tc>
          <w:tcPr>
            <w:tcW w:type="dxa" w:w="220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Rating esperado</w:t>
            </w:r>
          </w:p>
        </w:tc>
        <w:tc>
          <w:tcPr>
            <w:tcW w:type="dxa" w:w="2386"/>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B+ / BB-</w:t>
            </w:r>
          </w:p>
        </w:tc>
        <w:tc>
          <w:tcPr>
            <w:tcW w:type="dxa" w:w="2386"/>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B+ / BB-</w:t>
            </w:r>
          </w:p>
        </w:tc>
        <w:tc>
          <w:tcPr>
            <w:tcW w:type="dxa" w:w="2386"/>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B+ / BB-</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Pagamento principal</w:t>
            </w:r>
          </w:p>
        </w:tc>
        <w:tc>
          <w:tcPr>
            <w:tcW w:type="dxa" w:w="2386"/>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Deságio (OID)</w:t>
            </w:r>
          </w:p>
        </w:tc>
        <w:tc>
          <w:tcPr>
            <w:tcW w:type="dxa" w:w="2386"/>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Bullet</w:t>
            </w:r>
          </w:p>
        </w:tc>
        <w:tc>
          <w:tcPr>
            <w:tcW w:type="dxa" w:w="2386"/>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Bullet ou Amortizável</w:t>
            </w:r>
          </w:p>
        </w:tc>
      </w:tr>
      <w:tr>
        <w:tc>
          <w:tcPr>
            <w:tcW w:type="dxa" w:w="220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Lei aplicável</w:t>
            </w:r>
          </w:p>
        </w:tc>
        <w:tc>
          <w:tcPr>
            <w:tcW w:type="dxa" w:w="2386"/>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Nova York</w:t>
            </w:r>
          </w:p>
        </w:tc>
        <w:tc>
          <w:tcPr>
            <w:tcW w:type="dxa" w:w="2386"/>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Nova York</w:t>
            </w:r>
          </w:p>
        </w:tc>
        <w:tc>
          <w:tcPr>
            <w:tcW w:type="dxa" w:w="2386"/>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Nova York</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7.1 Glossário dos parâmetros indicativos</w:t>
      </w:r>
    </w:p>
    <w:p>
      <w:pPr>
        <w:pStyle w:val="ListParagraph"/>
        <w:numPr>
          <w:ilvl w:val="0"/>
          <w:numId w:val="2"/>
        </w:numPr>
        <w:spacing w:before="60" w:after="60"/>
      </w:pPr>
      <w:r>
        <w:rPr>
          <w:rFonts w:ascii="Arial" w:cs="Arial" w:eastAsia="Arial" w:hAnsi="Arial"/>
          <w:b/>
          <w:bCs/>
          <w:color w:val="0D2240"/>
          <w:sz w:val="22"/>
          <w:szCs w:val="22"/>
        </w:rPr>
        <w:t xml:space="preserve">Yield indicativo (Mid 7s, 8s, High 8s): </w:t>
      </w:r>
      <w:r>
        <w:rPr>
          <w:rFonts w:ascii="Arial" w:cs="Arial" w:eastAsia="Arial" w:hAnsi="Arial"/>
          <w:sz w:val="22"/>
          <w:szCs w:val="22"/>
        </w:rPr>
        <w:t xml:space="preserve">é a taxa de retorno estimada que o mercado demandará para investir no papel. 'Mid 7s' significa aproximadamente 7,4–7,6% a.a. 'High 8s' significa aproximadamente 8,7–8,9% a.a. Esses níveis são indicativos — o yield real será determinado pelo processo de bookbuilding.</w:t>
      </w:r>
    </w:p>
    <w:p>
      <w:pPr>
        <w:spacing w:before="40" w:after="40"/>
      </w:pPr>
      <w:r>
        <w:t xml:space="preserve"/>
      </w:r>
    </w:p>
    <w:p>
      <w:pPr>
        <w:pStyle w:val="ListParagraph"/>
        <w:numPr>
          <w:ilvl w:val="0"/>
          <w:numId w:val="2"/>
        </w:numPr>
        <w:spacing w:before="60" w:after="60"/>
      </w:pPr>
      <w:r>
        <w:rPr>
          <w:rFonts w:ascii="Arial" w:cs="Arial" w:eastAsia="Arial" w:hAnsi="Arial"/>
          <w:b/>
          <w:bCs/>
          <w:color w:val="0D2240"/>
          <w:sz w:val="22"/>
          <w:szCs w:val="22"/>
        </w:rPr>
        <w:t xml:space="preserve">Unsecured vs. Initially Unsecured: </w:t>
      </w:r>
      <w:r>
        <w:rPr>
          <w:rFonts w:ascii="Arial" w:cs="Arial" w:eastAsia="Arial" w:hAnsi="Arial"/>
          <w:sz w:val="22"/>
          <w:szCs w:val="22"/>
        </w:rPr>
        <w:t xml:space="preserve">'Unsecured' significa que os detentores dos títulos não têm acesso preferencial a ativos específicos em caso de inadimplência. 'Initially Unsecured' indica que o papel começa sem garantia, mas pode ser garantido (secured) em circunstâncias específicas previstas no indenture.</w:t>
      </w:r>
    </w:p>
    <w:p>
      <w:pPr>
        <w:spacing w:before="40" w:after="40"/>
      </w:pPr>
      <w:r>
        <w:t xml:space="preserve"/>
      </w:r>
    </w:p>
    <w:p>
      <w:pPr>
        <w:pStyle w:val="ListParagraph"/>
        <w:numPr>
          <w:ilvl w:val="0"/>
          <w:numId w:val="2"/>
        </w:numPr>
        <w:spacing w:before="60" w:after="60"/>
      </w:pPr>
      <w:r>
        <w:rPr>
          <w:rFonts w:ascii="Arial" w:cs="Arial" w:eastAsia="Arial" w:hAnsi="Arial"/>
          <w:b/>
          <w:bCs/>
          <w:color w:val="0D2240"/>
          <w:sz w:val="22"/>
          <w:szCs w:val="22"/>
        </w:rPr>
        <w:t xml:space="preserve">Rating B+/BB-: </w:t>
      </w:r>
      <w:r>
        <w:rPr>
          <w:rFonts w:ascii="Arial" w:cs="Arial" w:eastAsia="Arial" w:hAnsi="Arial"/>
          <w:sz w:val="22"/>
          <w:szCs w:val="22"/>
        </w:rPr>
        <w:t xml:space="preserve">Rating especulativo / sub-investment grade, típico de emissores emergentes de primeira viagem ou empresas com alavancagem moderada. B+ é a notação equivalente da S&amp;P/Fitch; para Moody's, seria Ba3/B1. Este rating ainda permite ampla participação de high yield funds e EM funds.</w:t>
      </w:r>
    </w:p>
    <w:p>
      <w:pPr>
        <w:spacing w:before="40" w:after="40"/>
      </w:pPr>
      <w:r>
        <w:t xml:space="preserve"/>
      </w:r>
    </w:p>
    <w:p>
      <w:pPr>
        <w:pStyle w:val="ListParagraph"/>
        <w:numPr>
          <w:ilvl w:val="0"/>
          <w:numId w:val="2"/>
        </w:numPr>
        <w:spacing w:before="60" w:after="60"/>
      </w:pPr>
      <w:r>
        <w:rPr>
          <w:rFonts w:ascii="Arial" w:cs="Arial" w:eastAsia="Arial" w:hAnsi="Arial"/>
          <w:b/>
          <w:bCs/>
          <w:color w:val="0D2240"/>
          <w:sz w:val="22"/>
          <w:szCs w:val="22"/>
        </w:rPr>
        <w:t xml:space="preserve">Original Issue Discount (OID): </w:t>
      </w:r>
      <w:r>
        <w:rPr>
          <w:rFonts w:ascii="Arial" w:cs="Arial" w:eastAsia="Arial" w:hAnsi="Arial"/>
          <w:sz w:val="22"/>
          <w:szCs w:val="22"/>
        </w:rPr>
        <w:t xml:space="preserve">o ECP não paga cupom periódico. É emitido a um preço abaixo do par (ex: 95,5 de valor nominal de 100), e o investidor recebe 100 no vencimento. O retorno é a diferença entre o preço de compra e o par — equivalente economicamente a um zero coupon bond.</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7.2 Como interpretar o yield no contexto do JBJ</w:t>
      </w:r>
    </w:p>
    <w:p>
      <w:pPr>
        <w:spacing w:before="80" w:after="80"/>
        <w:jc w:val="both"/>
      </w:pPr>
      <w:r>
        <w:rPr>
          <w:rFonts w:ascii="Arial" w:cs="Arial" w:eastAsia="Arial" w:hAnsi="Arial"/>
          <w:color w:val="1A1A1A"/>
          <w:sz w:val="22"/>
          <w:szCs w:val="22"/>
        </w:rPr>
        <w:t xml:space="preserve">O yield indicativo de 7–9% pode parecer alto em comparação com papéis de investment grade. É importante contextualizar:</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O rating esperado (B+/BB-) é especulativo — o mercado exige prêmio de risco</w:t>
      </w:r>
    </w:p>
    <w:p>
      <w:pPr>
        <w:pStyle w:val="ListParagraph"/>
        <w:numPr>
          <w:ilvl w:val="0"/>
          <w:numId w:val="2"/>
        </w:numPr>
        <w:spacing w:before="60" w:after="60"/>
      </w:pPr>
      <w:r>
        <w:rPr>
          <w:rFonts w:ascii="Arial" w:cs="Arial" w:eastAsia="Arial" w:hAnsi="Arial"/>
          <w:sz w:val="22"/>
          <w:szCs w:val="22"/>
        </w:rPr>
        <w:t xml:space="preserve">Brazil sovereign bonds (papéis do governo brasileiro) são negociados em torno de 6–7% para tenores equivalentes — o JBJ estaria pagando um spread corporativo de 100–200bps sobre o soberano</w:t>
      </w:r>
    </w:p>
    <w:p>
      <w:pPr>
        <w:pStyle w:val="ListParagraph"/>
        <w:numPr>
          <w:ilvl w:val="0"/>
          <w:numId w:val="2"/>
        </w:numPr>
        <w:spacing w:before="60" w:after="60"/>
      </w:pPr>
      <w:r>
        <w:rPr>
          <w:rFonts w:ascii="Arial" w:cs="Arial" w:eastAsia="Arial" w:hAnsi="Arial"/>
          <w:sz w:val="22"/>
          <w:szCs w:val="22"/>
        </w:rPr>
        <w:t xml:space="preserve">A curva do setor proteína (Minerva, Marfrig) negocia em 6–7,3% para ratings BB/BB+ — o JBJ estaria pagando prêmio adicional pelo menor porte e ausência de track record offshore</w:t>
      </w:r>
    </w:p>
    <w:p>
      <w:pPr>
        <w:pStyle w:val="ListParagraph"/>
        <w:numPr>
          <w:ilvl w:val="0"/>
          <w:numId w:val="2"/>
        </w:numPr>
        <w:spacing w:before="60" w:after="60"/>
      </w:pPr>
      <w:r>
        <w:rPr>
          <w:rFonts w:ascii="Arial" w:cs="Arial" w:eastAsia="Arial" w:hAnsi="Arial"/>
          <w:sz w:val="22"/>
          <w:szCs w:val="22"/>
        </w:rPr>
        <w:t xml:space="preserve">À medida que o JBJ constrói histórico e escala via programa, espera-se compressão gradual de spreads</w:t>
      </w:r>
    </w:p>
    <w:p>
      <w:r>
        <w:br w:type="page"/>
      </w:r>
    </w:p>
    <w:p>
      <w:pPr>
        <w:pStyle w:val="Heading1"/>
        <w:spacing w:before="480" w:after="200"/>
      </w:pPr>
      <w:r>
        <w:rPr>
          <w:rFonts w:ascii="Arial" w:cs="Arial" w:eastAsia="Arial" w:hAnsi="Arial"/>
          <w:b/>
          <w:bCs/>
          <w:color w:val="0D2240"/>
          <w:sz w:val="36"/>
          <w:szCs w:val="36"/>
        </w:rPr>
        <w:t xml:space="preserve">Capítulo 8</w:t>
      </w:r>
    </w:p>
    <w:p>
      <w:pPr>
        <w:pBdr>
          <w:bottom w:val="single" w:color="B8912A" w:sz="4" w:space="4"/>
        </w:pBdr>
        <w:spacing w:before="360" w:after="120"/>
      </w:pPr>
      <w:r>
        <w:rPr>
          <w:rFonts w:ascii="Arial" w:cs="Arial" w:eastAsia="Arial" w:hAnsi="Arial"/>
          <w:b/>
          <w:bCs/>
          <w:color w:val="0D2240"/>
          <w:sz w:val="36"/>
          <w:szCs w:val="36"/>
        </w:rPr>
        <w:t xml:space="preserve">Análise de Peers: O Setor Proteína no Mercado Internacional</w:t>
      </w:r>
    </w:p>
    <w:p>
      <w:pPr>
        <w:spacing w:before="80" w:after="80"/>
      </w:pPr>
      <w:r>
        <w:t xml:space="preserve"/>
      </w:r>
    </w:p>
    <w:p>
      <w:pPr>
        <w:spacing w:before="80" w:after="80"/>
        <w:jc w:val="both"/>
      </w:pPr>
      <w:r>
        <w:rPr>
          <w:rFonts w:ascii="Arial" w:cs="Arial" w:eastAsia="Arial" w:hAnsi="Arial"/>
          <w:color w:val="1A1A1A"/>
          <w:sz w:val="22"/>
          <w:szCs w:val="22"/>
        </w:rPr>
        <w:t xml:space="preserve">A análise de peers é uma ferramenta central no trabalho de DCM. Ela permite posicionar o emissor dentro do contexto do setor, identificar onde o mercado precia créditos semelhantes e construir o argumento de valor relativo (relative value) para os investidores. O setor proteína brasileiro é um dos mais ativos no mercado internacional de dívida corporativa.</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8.1 Principais emissores do setor proteína no mercado internacional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0C0C0" w:sz="1"/>
              <w:left w:val="single" w:color="C0C0C0" w:sz="1"/>
              <w:bottom w:val="single" w:color="C0C0C0" w:sz="1"/>
              <w:right w:val="single" w:color="C0C0C0" w:sz="1"/>
            </w:tcBorders>
            <w:shd w:fill="0D22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Emissor</w:t>
            </w:r>
          </w:p>
        </w:tc>
        <w:tc>
          <w:tcPr>
            <w:tcW w:type="dxa" w:w="5960"/>
            <w:tcBorders>
              <w:top w:val="single" w:color="C0C0C0" w:sz="1"/>
              <w:left w:val="single" w:color="C0C0C0" w:sz="1"/>
              <w:bottom w:val="single" w:color="C0C0C0" w:sz="1"/>
              <w:right w:val="single" w:color="C0C0C0" w:sz="1"/>
            </w:tcBorders>
            <w:shd w:fill="0D22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Papéis em Circulação — Perfil Geral</w:t>
            </w:r>
          </w:p>
        </w:tc>
      </w:tr>
      <w:tr>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JBS NV/USA</w:t>
            </w:r>
          </w:p>
        </w:tc>
        <w:tc>
          <w:tcPr>
            <w:tcW w:type="dxa" w:w="5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Maior emissora — rating Baa3/BBB-/BBB- (investment grade). Múltiplos papéis de 2027 a 2066. Yields entre 4,18% e 6,20%. Z-spreads de 87 a 225 bps. Referência máxima de liquidez no setor.</w:t>
            </w:r>
          </w:p>
        </w:tc>
      </w:tr>
      <w:tr>
        <w:tc>
          <w:tcPr>
            <w:tcW w:type="dxa" w:w="3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Minerva Luxembourg SA</w:t>
            </w:r>
          </w:p>
        </w:tc>
        <w:tc>
          <w:tcPr>
            <w:tcW w:type="dxa" w:w="596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Rating -/BB/BB. Dois papéis ativos: BEEFBZ 31 (6,03% YTM, Z+263) e BEEFBZ 33 (7,29% YTM, Z+326). Alta dispersão reflete risco de crédito e liquidez menor.</w:t>
            </w:r>
          </w:p>
        </w:tc>
      </w:tr>
      <w:tr>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BRF SA / BRF GmbH</w:t>
            </w:r>
          </w:p>
        </w:tc>
        <w:tc>
          <w:tcPr>
            <w:tcW w:type="dxa" w:w="5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Rating Ba2/-/BB+. Três papéis: curto prazo (5,19%), médio (5,84%) e longo (7,38%). Curva bem construída.</w:t>
            </w:r>
          </w:p>
        </w:tc>
      </w:tr>
      <w:tr>
        <w:tc>
          <w:tcPr>
            <w:tcW w:type="dxa" w:w="3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Marfrig / NBM US Holdings / MARB Bondco</w:t>
            </w:r>
          </w:p>
        </w:tc>
        <w:tc>
          <w:tcPr>
            <w:tcW w:type="dxa" w:w="596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Rating -/BB+/BB+. Três papéis: 6,23% (curto), 6,17% (médio), 6,17% (longo). Curva plana — típica de crédito com risco percebido estável.</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8.2 Lendo o gráfico de Duration vs. Yield</w:t>
      </w:r>
    </w:p>
    <w:p>
      <w:pPr>
        <w:spacing w:before="80" w:after="80"/>
        <w:jc w:val="both"/>
      </w:pPr>
      <w:r>
        <w:rPr>
          <w:rFonts w:ascii="Arial" w:cs="Arial" w:eastAsia="Arial" w:hAnsi="Arial"/>
          <w:color w:val="1A1A1A"/>
          <w:sz w:val="22"/>
          <w:szCs w:val="22"/>
        </w:rPr>
        <w:t xml:space="preserve">A análise do gráfico apresentado pela BCP (página 8 do material original) mostra a relação entre duration e yield para todos os papéis do setor proteína. Algumas observações:</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JBS domina o quadrante de baixo yield / alta duration — reflexo de seu investment grade rating e liquidez de benchmark.</w:t>
      </w:r>
    </w:p>
    <w:p>
      <w:pPr>
        <w:pStyle w:val="ListParagraph"/>
        <w:numPr>
          <w:ilvl w:val="0"/>
          <w:numId w:val="2"/>
        </w:numPr>
        <w:spacing w:before="60" w:after="60"/>
      </w:pPr>
      <w:r>
        <w:rPr>
          <w:rFonts w:ascii="Arial" w:cs="Arial" w:eastAsia="Arial" w:hAnsi="Arial"/>
          <w:sz w:val="22"/>
          <w:szCs w:val="22"/>
        </w:rPr>
        <w:t xml:space="preserve">Minerva concentra-se no quadrante de alto yield / duration médio — reflete seu rating BB e menor liquidez.</w:t>
      </w:r>
    </w:p>
    <w:p>
      <w:pPr>
        <w:pStyle w:val="ListParagraph"/>
        <w:numPr>
          <w:ilvl w:val="0"/>
          <w:numId w:val="2"/>
        </w:numPr>
        <w:spacing w:before="60" w:after="60"/>
      </w:pPr>
      <w:r>
        <w:rPr>
          <w:rFonts w:ascii="Arial" w:cs="Arial" w:eastAsia="Arial" w:hAnsi="Arial"/>
          <w:sz w:val="22"/>
          <w:szCs w:val="22"/>
        </w:rPr>
        <w:t xml:space="preserve">Marfrig apresenta curva mais plana (yields similares em diferentes durações) — mercado precifica risco de crédito constante independente do prazo.</w:t>
      </w:r>
    </w:p>
    <w:p>
      <w:pPr>
        <w:pStyle w:val="ListParagraph"/>
        <w:numPr>
          <w:ilvl w:val="0"/>
          <w:numId w:val="2"/>
        </w:numPr>
        <w:spacing w:before="60" w:after="60"/>
      </w:pPr>
      <w:r>
        <w:rPr>
          <w:rFonts w:ascii="Arial" w:cs="Arial" w:eastAsia="Arial" w:hAnsi="Arial"/>
          <w:sz w:val="22"/>
          <w:szCs w:val="22"/>
        </w:rPr>
        <w:t xml:space="preserve">BRF tem a maior dispersão — papel de 2050 com 7,38% reflete prêmio de liquidez para papéis muito longos.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160"/>
              <w:bottom w:type="dxa" w:w="60"/>
              <w:right w:type="dxa" w:w="160"/>
            </w:tcMar>
          </w:tcPr>
          <w:p>
            <w:r>
              <w:rPr>
                <w:rFonts w:ascii="Arial" w:cs="Arial" w:eastAsia="Arial" w:hAnsi="Arial"/>
                <w:b/>
                <w:bCs/>
                <w:color w:val="0D2240"/>
                <w:sz w:val="22"/>
                <w:szCs w:val="22"/>
              </w:rPr>
              <w:t xml:space="preserve">LIÇÃO PRÁTICA: RELATIVE VALUE ANALYSIS</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Quando o JBJ emitir seu primeiro papel, o pitch para os investidores será construído em torno de</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relative value: 'você está comprando um crédito com fundamentos equivalentes ao de Minerva/Marfrig,</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mas pagando um prêmio de 150–250 bps por se tratar de um emissor novo no mercado — o que representa</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uma oportunidade de entrada privilegiada antes da compressão de spreads que naturalmente ocorre</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à medida que o nome se torna conhecido.'</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8.3 Métricas de crédito comparativas</w:t>
      </w:r>
    </w:p>
    <w:p>
      <w:pPr>
        <w:spacing w:before="80" w:after="80"/>
        <w:jc w:val="both"/>
      </w:pPr>
      <w:r>
        <w:rPr>
          <w:rFonts w:ascii="Arial" w:cs="Arial" w:eastAsia="Arial" w:hAnsi="Arial"/>
          <w:color w:val="1A1A1A"/>
          <w:sz w:val="22"/>
          <w:szCs w:val="22"/>
        </w:rPr>
        <w:t xml:space="preserve">Para contextualizar a discussão com investidores, é fundamental entender os principais indicadores de crédito utilizados no mercado de bonds:</w:t>
      </w:r>
    </w:p>
    <w:p>
      <w:pPr>
        <w:spacing w:before="60" w:after="60"/>
      </w:pPr>
      <w:r>
        <w:t xml:space="preserve"/>
      </w:r>
    </w:p>
    <w:p>
      <w:pPr>
        <w:pStyle w:val="ListParagraph"/>
        <w:numPr>
          <w:ilvl w:val="0"/>
          <w:numId w:val="2"/>
        </w:numPr>
        <w:spacing w:before="60" w:after="60"/>
      </w:pPr>
      <w:r>
        <w:rPr>
          <w:rFonts w:ascii="Arial" w:cs="Arial" w:eastAsia="Arial" w:hAnsi="Arial"/>
          <w:b/>
          <w:bCs/>
          <w:color w:val="0D2240"/>
          <w:sz w:val="22"/>
          <w:szCs w:val="22"/>
        </w:rPr>
        <w:t xml:space="preserve">Yield to Maturity (YTM): </w:t>
      </w:r>
      <w:r>
        <w:rPr>
          <w:rFonts w:ascii="Arial" w:cs="Arial" w:eastAsia="Arial" w:hAnsi="Arial"/>
          <w:sz w:val="22"/>
          <w:szCs w:val="22"/>
        </w:rPr>
        <w:t xml:space="preserve">taxa de retorno total caso o investidor segure o papel até o vencimento. Incorpora cupom + diferença entre preço de compra e valor de face.</w:t>
      </w:r>
    </w:p>
    <w:p>
      <w:pPr>
        <w:pStyle w:val="ListParagraph"/>
        <w:numPr>
          <w:ilvl w:val="0"/>
          <w:numId w:val="2"/>
        </w:numPr>
        <w:spacing w:before="60" w:after="60"/>
      </w:pPr>
      <w:r>
        <w:rPr>
          <w:rFonts w:ascii="Arial" w:cs="Arial" w:eastAsia="Arial" w:hAnsi="Arial"/>
          <w:b/>
          <w:bCs/>
          <w:color w:val="0D2240"/>
          <w:sz w:val="22"/>
          <w:szCs w:val="22"/>
        </w:rPr>
        <w:t xml:space="preserve">Z-Spread (Zero-volatility spread): </w:t>
      </w:r>
      <w:r>
        <w:rPr>
          <w:rFonts w:ascii="Arial" w:cs="Arial" w:eastAsia="Arial" w:hAnsi="Arial"/>
          <w:sz w:val="22"/>
          <w:szCs w:val="22"/>
        </w:rPr>
        <w:t xml:space="preserve">spread constante adicionado à curva de swap de taxa zero que iguala o valor presente dos fluxos do papel ao seu preço de mercado. É a medida mais precisa de spread de crédito.</w:t>
      </w:r>
    </w:p>
    <w:p>
      <w:pPr>
        <w:pStyle w:val="ListParagraph"/>
        <w:numPr>
          <w:ilvl w:val="0"/>
          <w:numId w:val="2"/>
        </w:numPr>
        <w:spacing w:before="60" w:after="60"/>
      </w:pPr>
      <w:r>
        <w:rPr>
          <w:rFonts w:ascii="Arial" w:cs="Arial" w:eastAsia="Arial" w:hAnsi="Arial"/>
          <w:b/>
          <w:bCs/>
          <w:color w:val="0D2240"/>
          <w:sz w:val="22"/>
          <w:szCs w:val="22"/>
        </w:rPr>
        <w:t xml:space="preserve">Duration (Modified Duration): </w:t>
      </w:r>
      <w:r>
        <w:rPr>
          <w:rFonts w:ascii="Arial" w:cs="Arial" w:eastAsia="Arial" w:hAnsi="Arial"/>
          <w:sz w:val="22"/>
          <w:szCs w:val="22"/>
        </w:rPr>
        <w:t xml:space="preserve">sensibilidade do preço do papel a variações na taxa de juros. Duration 5 significa que para cada 1% de alta nos juros, o preço cai ~5%. Quanto maior o duration, maior o risco de mercado.</w:t>
      </w:r>
    </w:p>
    <w:p>
      <w:pPr>
        <w:pStyle w:val="ListParagraph"/>
        <w:numPr>
          <w:ilvl w:val="0"/>
          <w:numId w:val="2"/>
        </w:numPr>
        <w:spacing w:before="60" w:after="60"/>
      </w:pPr>
      <w:r>
        <w:rPr>
          <w:rFonts w:ascii="Arial" w:cs="Arial" w:eastAsia="Arial" w:hAnsi="Arial"/>
          <w:b/>
          <w:bCs/>
          <w:color w:val="0D2240"/>
          <w:sz w:val="22"/>
          <w:szCs w:val="22"/>
        </w:rPr>
        <w:t xml:space="preserve">Mid Price: </w:t>
      </w:r>
      <w:r>
        <w:rPr>
          <w:rFonts w:ascii="Arial" w:cs="Arial" w:eastAsia="Arial" w:hAnsi="Arial"/>
          <w:sz w:val="22"/>
          <w:szCs w:val="22"/>
        </w:rPr>
        <w:t xml:space="preserve">média entre o preço de compra (bid) e o preço de venda (ask) pelo market maker. Usado como referência de valor de mercado.</w:t>
      </w:r>
    </w:p>
    <w:p>
      <w:r>
        <w:br w:type="page"/>
      </w:r>
    </w:p>
    <w:p>
      <w:pPr>
        <w:pStyle w:val="Heading1"/>
        <w:spacing w:before="480" w:after="200"/>
      </w:pPr>
      <w:r>
        <w:rPr>
          <w:rFonts w:ascii="Arial" w:cs="Arial" w:eastAsia="Arial" w:hAnsi="Arial"/>
          <w:b/>
          <w:bCs/>
          <w:color w:val="0D2240"/>
          <w:sz w:val="36"/>
          <w:szCs w:val="36"/>
        </w:rPr>
        <w:t xml:space="preserve">Capítulo 9</w:t>
      </w:r>
    </w:p>
    <w:p>
      <w:pPr>
        <w:pBdr>
          <w:bottom w:val="single" w:color="B8912A" w:sz="4" w:space="4"/>
        </w:pBdr>
        <w:spacing w:before="360" w:after="120"/>
      </w:pPr>
      <w:r>
        <w:rPr>
          <w:rFonts w:ascii="Arial" w:cs="Arial" w:eastAsia="Arial" w:hAnsi="Arial"/>
          <w:b/>
          <w:bCs/>
          <w:color w:val="0D2240"/>
          <w:sz w:val="36"/>
          <w:szCs w:val="36"/>
        </w:rPr>
        <w:t xml:space="preserve">Análise Financeira Comparativa</w:t>
      </w:r>
    </w:p>
    <w:p>
      <w:pPr>
        <w:spacing w:before="80" w:after="80"/>
      </w:pPr>
      <w:r>
        <w:t xml:space="preserve"/>
      </w:r>
    </w:p>
    <w:p>
      <w:pPr>
        <w:spacing w:before="80" w:after="80"/>
        <w:jc w:val="both"/>
      </w:pPr>
      <w:r>
        <w:rPr>
          <w:rFonts w:ascii="Arial" w:cs="Arial" w:eastAsia="Arial" w:hAnsi="Arial"/>
          <w:color w:val="1A1A1A"/>
          <w:sz w:val="22"/>
          <w:szCs w:val="22"/>
        </w:rPr>
        <w:t xml:space="preserve">O posicionamento financeiro do JBJ em relação a seus peers é uma peça-chave na construção da narrativa para investidores. A tabela comparativa da BCP (página 9 do material) revela um perfil financeiro diferenciado — e essa diferenciação precisa ser bem comunicada.</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9.1 Principais métricas financeiras (2025, BRL MM)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0C0C0" w:sz="1"/>
              <w:left w:val="single" w:color="C0C0C0" w:sz="1"/>
              <w:bottom w:val="single" w:color="C0C0C0" w:sz="1"/>
              <w:right w:val="single" w:color="C0C0C0" w:sz="1"/>
            </w:tcBorders>
            <w:shd w:fill="0D2240"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Métrica</w:t>
            </w:r>
          </w:p>
        </w:tc>
        <w:tc>
          <w:tcPr>
            <w:tcW w:type="dxa" w:w="3580"/>
            <w:tcBorders>
              <w:top w:val="single" w:color="C0C0C0" w:sz="1"/>
              <w:left w:val="single" w:color="C0C0C0" w:sz="1"/>
              <w:bottom w:val="single" w:color="C0C0C0" w:sz="1"/>
              <w:right w:val="single" w:color="C0C0C0" w:sz="1"/>
            </w:tcBorders>
            <w:shd w:fill="0D2240"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Grupo JBJ</w:t>
            </w:r>
          </w:p>
        </w:tc>
        <w:tc>
          <w:tcPr>
            <w:tcW w:type="dxa" w:w="3580"/>
            <w:tcBorders>
              <w:top w:val="single" w:color="C0C0C0" w:sz="1"/>
              <w:left w:val="single" w:color="C0C0C0" w:sz="1"/>
              <w:bottom w:val="single" w:color="C0C0C0" w:sz="1"/>
              <w:right w:val="single" w:color="C0C0C0" w:sz="1"/>
            </w:tcBorders>
            <w:shd w:fill="0D2240"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Peers (Referência)</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Receita</w:t>
            </w:r>
          </w:p>
        </w:tc>
        <w:tc>
          <w:tcPr>
            <w:tcW w:type="dxa" w:w="358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BRL 6.118MM</w:t>
            </w:r>
          </w:p>
        </w:tc>
        <w:tc>
          <w:tcPr>
            <w:tcW w:type="dxa" w:w="358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Minerva: 51.340 | JBS: 473.745</w:t>
            </w:r>
          </w:p>
        </w:tc>
      </w:tr>
      <w:tr>
        <w:tc>
          <w:tcPr>
            <w:tcW w:type="dxa" w:w="220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EBITDA</w:t>
            </w:r>
          </w:p>
        </w:tc>
        <w:tc>
          <w:tcPr>
            <w:tcW w:type="dxa" w:w="358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BRL 549MM</w:t>
            </w:r>
          </w:p>
        </w:tc>
        <w:tc>
          <w:tcPr>
            <w:tcW w:type="dxa" w:w="358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Minerva: 4.567 | Frigol: 334</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Margem EBITDA</w:t>
            </w:r>
          </w:p>
        </w:tc>
        <w:tc>
          <w:tcPr>
            <w:tcW w:type="dxa" w:w="358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8,98%</w:t>
            </w:r>
          </w:p>
        </w:tc>
        <w:tc>
          <w:tcPr>
            <w:tcW w:type="dxa" w:w="358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Minerva: 8,90% | JBS: 8,11%</w:t>
            </w:r>
          </w:p>
        </w:tc>
      </w:tr>
      <w:tr>
        <w:tc>
          <w:tcPr>
            <w:tcW w:type="dxa" w:w="220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Gross Leverage</w:t>
            </w:r>
          </w:p>
        </w:tc>
        <w:tc>
          <w:tcPr>
            <w:tcW w:type="dxa" w:w="358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1,52x</w:t>
            </w:r>
          </w:p>
        </w:tc>
        <w:tc>
          <w:tcPr>
            <w:tcW w:type="dxa" w:w="358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Minerva: 5,85x | JBS: 3,13x | Frigol: 1,75x</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Net Leverage</w:t>
            </w:r>
          </w:p>
        </w:tc>
        <w:tc>
          <w:tcPr>
            <w:tcW w:type="dxa" w:w="358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0,06x</w:t>
            </w:r>
          </w:p>
        </w:tc>
        <w:tc>
          <w:tcPr>
            <w:tcW w:type="dxa" w:w="358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Minerva: 2,59x | JBS: 2,63x | Frigol: 1,17x</w:t>
            </w:r>
          </w:p>
        </w:tc>
      </w:tr>
      <w:tr>
        <w:tc>
          <w:tcPr>
            <w:tcW w:type="dxa" w:w="220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Dívida Líquida</w:t>
            </w:r>
          </w:p>
        </w:tc>
        <w:tc>
          <w:tcPr>
            <w:tcW w:type="dxa" w:w="358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BRL 35MM</w:t>
            </w:r>
          </w:p>
        </w:tc>
        <w:tc>
          <w:tcPr>
            <w:tcW w:type="dxa" w:w="358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Minerva: 11.838 | JBS: 101.079</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Free Cash Flow</w:t>
            </w:r>
          </w:p>
        </w:tc>
        <w:tc>
          <w:tcPr>
            <w:tcW w:type="dxa" w:w="358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BRL (3)MM (quasi-zero)</w:t>
            </w:r>
          </w:p>
        </w:tc>
        <w:tc>
          <w:tcPr>
            <w:tcW w:type="dxa" w:w="358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Minerva: 5.310 | JBS: 4.273</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9.2 O que os dados revelam — e como apresentar ao investidor</w:t>
      </w:r>
    </w:p>
    <w:p>
      <w:pPr>
        <w:spacing w:before="80" w:after="80"/>
        <w:jc w:val="both"/>
      </w:pPr>
      <w:r>
        <w:rPr>
          <w:rFonts w:ascii="Arial" w:cs="Arial" w:eastAsia="Arial" w:hAnsi="Arial"/>
          <w:color w:val="1A1A1A"/>
          <w:sz w:val="22"/>
          <w:szCs w:val="22"/>
        </w:rPr>
        <w:t xml:space="preserve">Os dados financeiros do JBJ revelam um perfil de crédito com forças e pontos de atenção que precisam ser articulados com precisão:</w:t>
      </w:r>
    </w:p>
    <w:p>
      <w:pPr>
        <w:spacing w:before="60" w:after="60"/>
      </w:pPr>
      <w:r>
        <w:t xml:space="preserve"/>
      </w:r>
    </w:p>
    <w:p>
      <w:pPr>
        <w:pStyle w:val="Heading3"/>
        <w:spacing w:before="240" w:after="120"/>
      </w:pPr>
      <w:r>
        <w:rPr>
          <w:rFonts w:ascii="Arial" w:cs="Arial" w:eastAsia="Arial" w:hAnsi="Arial"/>
          <w:b/>
          <w:bCs/>
          <w:color w:val="0D2240"/>
          <w:sz w:val="24"/>
          <w:szCs w:val="24"/>
        </w:rPr>
        <w:t xml:space="preserve">Pontos Fortes (sell-side narrative):</w:t>
      </w:r>
    </w:p>
    <w:p>
      <w:pPr>
        <w:pStyle w:val="ListParagraph"/>
        <w:numPr>
          <w:ilvl w:val="0"/>
          <w:numId w:val="2"/>
        </w:numPr>
        <w:spacing w:before="60" w:after="60"/>
      </w:pPr>
      <w:r>
        <w:rPr>
          <w:rFonts w:ascii="Arial" w:cs="Arial" w:eastAsia="Arial" w:hAnsi="Arial"/>
          <w:b/>
          <w:bCs/>
          <w:color w:val="0D2240"/>
          <w:sz w:val="22"/>
          <w:szCs w:val="22"/>
        </w:rPr>
        <w:t xml:space="preserve">Alavancagem excepcional: </w:t>
      </w:r>
      <w:r>
        <w:rPr>
          <w:rFonts w:ascii="Arial" w:cs="Arial" w:eastAsia="Arial" w:hAnsi="Arial"/>
          <w:sz w:val="22"/>
          <w:szCs w:val="22"/>
        </w:rPr>
        <w:t xml:space="preserve">net leverage de apenas 0,06x é o mais baixo do grupo — indicando uma estrutura de capital extremamente conservadora. Isso representa baixo risco de inadimplência e ampla capacidade de tomar nova dívida.</w:t>
      </w:r>
    </w:p>
    <w:p>
      <w:pPr>
        <w:pStyle w:val="ListParagraph"/>
        <w:numPr>
          <w:ilvl w:val="0"/>
          <w:numId w:val="2"/>
        </w:numPr>
        <w:spacing w:before="60" w:after="60"/>
      </w:pPr>
      <w:r>
        <w:rPr>
          <w:rFonts w:ascii="Arial" w:cs="Arial" w:eastAsia="Arial" w:hAnsi="Arial"/>
          <w:b/>
          <w:bCs/>
          <w:color w:val="0D2240"/>
          <w:sz w:val="22"/>
          <w:szCs w:val="22"/>
        </w:rPr>
        <w:t xml:space="preserve">Margem EBITDA competitiva: </w:t>
      </w:r>
      <w:r>
        <w:rPr>
          <w:rFonts w:ascii="Arial" w:cs="Arial" w:eastAsia="Arial" w:hAnsi="Arial"/>
          <w:sz w:val="22"/>
          <w:szCs w:val="22"/>
        </w:rPr>
        <w:t xml:space="preserve">8,98% — virtualmente idêntica à da Minerva (8,90%) e acima da BRF Foods (8,03%) e JBS (8,11%). Isso significa que, do ponto de vista de eficiência operacional, o JBJ joga na mesma liga dos grandes.</w:t>
      </w:r>
    </w:p>
    <w:p>
      <w:pPr>
        <w:pStyle w:val="ListParagraph"/>
        <w:numPr>
          <w:ilvl w:val="0"/>
          <w:numId w:val="2"/>
        </w:numPr>
        <w:spacing w:before="60" w:after="60"/>
      </w:pPr>
      <w:r>
        <w:rPr>
          <w:rFonts w:ascii="Arial" w:cs="Arial" w:eastAsia="Arial" w:hAnsi="Arial"/>
          <w:b/>
          <w:bCs/>
          <w:color w:val="0D2240"/>
          <w:sz w:val="22"/>
          <w:szCs w:val="22"/>
        </w:rPr>
        <w:t xml:space="preserve">Caixa robusto: </w:t>
      </w:r>
      <w:r>
        <w:rPr>
          <w:rFonts w:ascii="Arial" w:cs="Arial" w:eastAsia="Arial" w:hAnsi="Arial"/>
          <w:sz w:val="22"/>
          <w:szCs w:val="22"/>
        </w:rPr>
        <w:t xml:space="preserve">BRL 802MM em caixa cobre integralmente a dívida bruta de BRL 837MM — posição quase de net cash.</w:t>
      </w:r>
    </w:p>
    <w:p>
      <w:pPr>
        <w:spacing w:before="60" w:after="60"/>
      </w:pPr>
      <w:r>
        <w:t xml:space="preserve"/>
      </w:r>
    </w:p>
    <w:p>
      <w:pPr>
        <w:pStyle w:val="Heading3"/>
        <w:spacing w:before="240" w:after="120"/>
      </w:pPr>
      <w:r>
        <w:rPr>
          <w:rFonts w:ascii="Arial" w:cs="Arial" w:eastAsia="Arial" w:hAnsi="Arial"/>
          <w:b/>
          <w:bCs/>
          <w:color w:val="0D2240"/>
          <w:sz w:val="24"/>
          <w:szCs w:val="24"/>
        </w:rPr>
        <w:t xml:space="preserve">Pontos de atenção (mitigar proativamente no NDR):</w:t>
      </w:r>
    </w:p>
    <w:p>
      <w:pPr>
        <w:pStyle w:val="ListParagraph"/>
        <w:numPr>
          <w:ilvl w:val="0"/>
          <w:numId w:val="2"/>
        </w:numPr>
        <w:spacing w:before="60" w:after="60"/>
      </w:pPr>
      <w:r>
        <w:rPr>
          <w:rFonts w:ascii="Arial" w:cs="Arial" w:eastAsia="Arial" w:hAnsi="Arial"/>
          <w:b/>
          <w:bCs/>
          <w:color w:val="0D2240"/>
          <w:sz w:val="22"/>
          <w:szCs w:val="22"/>
        </w:rPr>
        <w:t xml:space="preserve">Free Cash Flow (FCF) negativo: </w:t>
      </w:r>
      <w:r>
        <w:rPr>
          <w:rFonts w:ascii="Arial" w:cs="Arial" w:eastAsia="Arial" w:hAnsi="Arial"/>
          <w:sz w:val="22"/>
          <w:szCs w:val="22"/>
        </w:rPr>
        <w:t xml:space="preserve">BRL (3)MM reflete um ano de capex elevado (BRL 342MM) versus geração operacional de caixa de BRL 339MM. É importante contextualizar: trata-se de investimento em crescimento (irrigação, expansão de capacidade), não de deterioração estrutural.</w:t>
      </w:r>
    </w:p>
    <w:p>
      <w:pPr>
        <w:pStyle w:val="ListParagraph"/>
        <w:numPr>
          <w:ilvl w:val="0"/>
          <w:numId w:val="2"/>
        </w:numPr>
        <w:spacing w:before="60" w:after="60"/>
      </w:pPr>
      <w:r>
        <w:rPr>
          <w:rFonts w:ascii="Arial" w:cs="Arial" w:eastAsia="Arial" w:hAnsi="Arial"/>
          <w:b/>
          <w:bCs/>
          <w:color w:val="0D2240"/>
          <w:sz w:val="22"/>
          <w:szCs w:val="22"/>
        </w:rPr>
        <w:t xml:space="preserve">Tamanho relativo: </w:t>
      </w:r>
      <w:r>
        <w:rPr>
          <w:rFonts w:ascii="Arial" w:cs="Arial" w:eastAsia="Arial" w:hAnsi="Arial"/>
          <w:sz w:val="22"/>
          <w:szCs w:val="22"/>
        </w:rPr>
        <w:t xml:space="preserve">a receita do JBJ representa aproximadamente 1,3% da receita da JBS. Investidores podem questionar a capacidade do JBJ de acessar mercados em condições de estresse. O contra-argumento é a alavancagem excepcional e a liquidez de caixa.</w:t>
      </w:r>
    </w:p>
    <w:p>
      <w:pPr>
        <w:pStyle w:val="ListParagraph"/>
        <w:numPr>
          <w:ilvl w:val="0"/>
          <w:numId w:val="2"/>
        </w:numPr>
        <w:spacing w:before="60" w:after="60"/>
      </w:pPr>
      <w:r>
        <w:rPr>
          <w:rFonts w:ascii="Arial" w:cs="Arial" w:eastAsia="Arial" w:hAnsi="Arial"/>
          <w:b/>
          <w:bCs/>
          <w:color w:val="0D2240"/>
          <w:sz w:val="22"/>
          <w:szCs w:val="22"/>
        </w:rPr>
        <w:t xml:space="preserve">Resultados mais recentes são do 2Q25 (não do 3Q25 LTM como os peers): </w:t>
      </w:r>
      <w:r>
        <w:rPr>
          <w:rFonts w:ascii="Arial" w:cs="Arial" w:eastAsia="Arial" w:hAnsi="Arial"/>
          <w:sz w:val="22"/>
          <w:szCs w:val="22"/>
        </w:rPr>
        <w:t xml:space="preserve">apontar que dados serão atualizados antes de qualquer emissão é crucial.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160"/>
              <w:bottom w:type="dxa" w:w="60"/>
              <w:right w:type="dxa" w:w="160"/>
            </w:tcMar>
          </w:tcPr>
          <w:p>
            <w:r>
              <w:rPr>
                <w:rFonts w:ascii="Arial" w:cs="Arial" w:eastAsia="Arial" w:hAnsi="Arial"/>
                <w:b/>
                <w:bCs/>
                <w:color w:val="0D2240"/>
                <w:sz w:val="22"/>
                <w:szCs w:val="22"/>
              </w:rPr>
              <w:t xml:space="preserve">FRAMING CORRETO PARA O INVESTIDOR</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O JBJ não é um crédito de high yield especulativo. É um crédito de crossover — uma empresa com</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fundamentos quase de investment grade (alavancagem 0,06x, caixa cobrindo dívida bruta, margens</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alinhadas aos maiores players do setor) que ainda não tem visibilidade no mercado internacional.</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O yield adicional que você recebe (vs. Minerva ou BRF) é um prêmio de liquidez e de novidade —</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não de risco fundamental. À medida que o nome se constrói, esse prêmio se comprimirá.</w:t>
            </w:r>
          </w:p>
        </w:tc>
      </w:tr>
    </w:tbl>
    <w:p>
      <w:r>
        <w:br w:type="page"/>
      </w:r>
    </w:p>
    <w:p>
      <w:pPr>
        <w:pStyle w:val="Heading1"/>
        <w:spacing w:before="480" w:after="200"/>
      </w:pPr>
      <w:r>
        <w:rPr>
          <w:rFonts w:ascii="Arial" w:cs="Arial" w:eastAsia="Arial" w:hAnsi="Arial"/>
          <w:b/>
          <w:bCs/>
          <w:color w:val="0D2240"/>
          <w:sz w:val="36"/>
          <w:szCs w:val="36"/>
        </w:rPr>
        <w:t xml:space="preserve">Capítulo 10</w:t>
      </w:r>
    </w:p>
    <w:p>
      <w:pPr>
        <w:pBdr>
          <w:bottom w:val="single" w:color="B8912A" w:sz="4" w:space="4"/>
        </w:pBdr>
        <w:spacing w:before="360" w:after="120"/>
      </w:pPr>
      <w:r>
        <w:rPr>
          <w:rFonts w:ascii="Arial" w:cs="Arial" w:eastAsia="Arial" w:hAnsi="Arial"/>
          <w:b/>
          <w:bCs/>
          <w:color w:val="0D2240"/>
          <w:sz w:val="36"/>
          <w:szCs w:val="36"/>
        </w:rPr>
        <w:t xml:space="preserve">Transações Recentes do Brasil no Mercado Internacional</w:t>
      </w:r>
    </w:p>
    <w:p>
      <w:pPr>
        <w:spacing w:before="80" w:after="80"/>
      </w:pPr>
      <w:r>
        <w:t xml:space="preserve"/>
      </w:r>
    </w:p>
    <w:p>
      <w:pPr>
        <w:spacing w:before="80" w:after="80"/>
        <w:jc w:val="both"/>
      </w:pPr>
      <w:r>
        <w:rPr>
          <w:rFonts w:ascii="Arial" w:cs="Arial" w:eastAsia="Arial" w:hAnsi="Arial"/>
          <w:color w:val="1A1A1A"/>
          <w:sz w:val="22"/>
          <w:szCs w:val="22"/>
        </w:rPr>
        <w:t xml:space="preserve">Entender o contexto de mercado no momento de uma emissão é tão importante quanto entender o crédito em si. O material da BCP apresenta os novos papéis brasileiros emitidos em 2026, que servem como referência de precificação e de apetite de risco para o JBJ.</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10.1 Novos papéis brasileiros — início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0C0C0" w:sz="1"/>
              <w:left w:val="single" w:color="C0C0C0" w:sz="1"/>
              <w:bottom w:val="single" w:color="C0C0C0" w:sz="1"/>
              <w:right w:val="single" w:color="C0C0C0" w:sz="1"/>
            </w:tcBorders>
            <w:shd w:fill="0D2240"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Ticker / Emissor</w:t>
            </w:r>
          </w:p>
        </w:tc>
        <w:tc>
          <w:tcPr>
            <w:tcW w:type="dxa" w:w="3580"/>
            <w:tcBorders>
              <w:top w:val="single" w:color="C0C0C0" w:sz="1"/>
              <w:left w:val="single" w:color="C0C0C0" w:sz="1"/>
              <w:bottom w:val="single" w:color="C0C0C0" w:sz="1"/>
              <w:right w:val="single" w:color="C0C0C0" w:sz="1"/>
            </w:tcBorders>
            <w:shd w:fill="0D2240"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Coupon / Yield Emissão</w:t>
            </w:r>
          </w:p>
        </w:tc>
        <w:tc>
          <w:tcPr>
            <w:tcW w:type="dxa" w:w="3580"/>
            <w:tcBorders>
              <w:top w:val="single" w:color="C0C0C0" w:sz="1"/>
              <w:left w:val="single" w:color="C0C0C0" w:sz="1"/>
              <w:bottom w:val="single" w:color="C0C0C0" w:sz="1"/>
              <w:right w:val="single" w:color="C0C0C0" w:sz="1"/>
            </w:tcBorders>
            <w:shd w:fill="0D2240"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Detalhes</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BRADES (Bradesco)</w:t>
            </w:r>
          </w:p>
        </w:tc>
        <w:tc>
          <w:tcPr>
            <w:tcW w:type="dxa" w:w="358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5,38% / 5,38%</w:t>
            </w:r>
          </w:p>
        </w:tc>
        <w:tc>
          <w:tcPr>
            <w:tcW w:type="dxa" w:w="358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US$ 750MM | 5 anos | Ba1/BB/- | Sr Unsecured | Performance: +0,20 pós emissão</w:t>
            </w:r>
          </w:p>
        </w:tc>
      </w:tr>
      <w:tr>
        <w:tc>
          <w:tcPr>
            <w:tcW w:type="dxa" w:w="220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BTGPBZ (BTG Pactual)</w:t>
            </w:r>
          </w:p>
        </w:tc>
        <w:tc>
          <w:tcPr>
            <w:tcW w:type="dxa" w:w="358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5,50% / 5,50%</w:t>
            </w:r>
          </w:p>
        </w:tc>
        <w:tc>
          <w:tcPr>
            <w:tcW w:type="dxa" w:w="358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US$ 750MM | 5 anos | Ba1/-/BB+ | Sr Unsecured | Performance: +0,10 pós emissão</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SBSPAB (Sabesp)</w:t>
            </w:r>
          </w:p>
        </w:tc>
        <w:tc>
          <w:tcPr>
            <w:tcW w:type="dxa" w:w="358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5,75% / 5,88% | 6,50% / 6,63%</w:t>
            </w:r>
          </w:p>
        </w:tc>
        <w:tc>
          <w:tcPr>
            <w:tcW w:type="dxa" w:w="358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US$ 850MM + US$ 500MM | 5a + 10a | -/BB/BB+ | Secured | Queda pós emissão</w:t>
            </w:r>
          </w:p>
        </w:tc>
      </w:tr>
      <w:tr>
        <w:tc>
          <w:tcPr>
            <w:tcW w:type="dxa" w:w="220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AZUBBZ (Azul)</w:t>
            </w:r>
          </w:p>
        </w:tc>
        <w:tc>
          <w:tcPr>
            <w:tcW w:type="dxa" w:w="358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9,88% / 10,13%</w:t>
            </w:r>
          </w:p>
        </w:tc>
        <w:tc>
          <w:tcPr>
            <w:tcW w:type="dxa" w:w="358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US$ 1.375MM | 5 anos | -/-/B- | 1st Lien | Alta após emissão (+2,60)</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FSBIOE (Jalles Machado)</w:t>
            </w:r>
          </w:p>
        </w:tc>
        <w:tc>
          <w:tcPr>
            <w:tcW w:type="dxa" w:w="358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8,13% / 8,40%</w:t>
            </w:r>
          </w:p>
        </w:tc>
        <w:tc>
          <w:tcPr>
            <w:tcW w:type="dxa" w:w="3580"/>
            <w:tcBorders>
              <w:top w:val="single" w:color="C0C0C0" w:sz="1"/>
              <w:left w:val="single" w:color="C0C0C0" w:sz="1"/>
              <w:bottom w:val="single" w:color="C0C0C0" w:sz="1"/>
              <w:right w:val="single" w:color="C0C0C0" w:sz="1"/>
            </w:tcBorders>
            <w:shd w:fill="FFFFFF" w:val="clear"/>
            <w:tcMar>
              <w:top w:type="dxa" w:w="80"/>
              <w:left w:type="dxa" w:w="100"/>
              <w:bottom w:type="dxa" w:w="80"/>
              <w:right w:type="dxa" w:w="100"/>
            </w:tcMar>
          </w:tcPr>
          <w:p>
            <w:pPr>
              <w:spacing w:before="40" w:after="40"/>
            </w:pPr>
            <w:r>
              <w:rPr>
                <w:rFonts w:ascii="Arial" w:cs="Arial" w:eastAsia="Arial" w:hAnsi="Arial"/>
                <w:sz w:val="19"/>
                <w:szCs w:val="19"/>
              </w:rPr>
              <w:t xml:space="preserve">US$ 500MM | ~7 anos | Ba3/-/BB- | Sr Unsecured | Queda pós emissão (-3,91)</w:t>
            </w:r>
          </w:p>
        </w:tc>
      </w:tr>
      <w:tr>
        <w:tc>
          <w:tcPr>
            <w:tcW w:type="dxa" w:w="220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FORSEA (Rede D'Or)</w:t>
            </w:r>
          </w:p>
        </w:tc>
        <w:tc>
          <w:tcPr>
            <w:tcW w:type="dxa" w:w="358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7,50% / 8,20%</w:t>
            </w:r>
          </w:p>
        </w:tc>
        <w:tc>
          <w:tcPr>
            <w:tcW w:type="dxa" w:w="3580"/>
            <w:tcBorders>
              <w:top w:val="single" w:color="C0C0C0" w:sz="1"/>
              <w:left w:val="single" w:color="C0C0C0" w:sz="1"/>
              <w:bottom w:val="single" w:color="C0C0C0" w:sz="1"/>
              <w:right w:val="single" w:color="C0C0C0" w:sz="1"/>
            </w:tcBorders>
            <w:shd w:fill="EEF4FA" w:val="clear"/>
            <w:tcMar>
              <w:top w:type="dxa" w:w="80"/>
              <w:left w:type="dxa" w:w="100"/>
              <w:bottom w:type="dxa" w:w="80"/>
              <w:right w:type="dxa" w:w="100"/>
            </w:tcMar>
          </w:tcPr>
          <w:p>
            <w:pPr>
              <w:spacing w:before="40" w:after="40"/>
            </w:pPr>
            <w:r>
              <w:rPr>
                <w:rFonts w:ascii="Arial" w:cs="Arial" w:eastAsia="Arial" w:hAnsi="Arial"/>
                <w:sz w:val="19"/>
                <w:szCs w:val="19"/>
              </w:rPr>
              <w:t xml:space="preserve">US$ 150MM | ~4 anos | B2/-/- | 1st Lien | Estável pós emissão (+0,19)</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10.2 Lições para o JBJ — leitura do mercado 2026</w:t>
      </w:r>
    </w:p>
    <w:p>
      <w:pPr>
        <w:spacing w:before="80" w:after="80"/>
        <w:jc w:val="both"/>
      </w:pPr>
      <w:r>
        <w:rPr>
          <w:rFonts w:ascii="Arial" w:cs="Arial" w:eastAsia="Arial" w:hAnsi="Arial"/>
          <w:color w:val="1A1A1A"/>
          <w:sz w:val="22"/>
          <w:szCs w:val="22"/>
        </w:rPr>
        <w:t xml:space="preserve">A análise dos novos papéis brasileiros de 2026 oferece insights valiosos:</w:t>
      </w:r>
    </w:p>
    <w:p>
      <w:pPr>
        <w:spacing w:before="60" w:after="60"/>
      </w:pPr>
      <w:r>
        <w:t xml:space="preserve"/>
      </w:r>
    </w:p>
    <w:p>
      <w:pPr>
        <w:pStyle w:val="ListParagraph"/>
        <w:numPr>
          <w:ilvl w:val="0"/>
          <w:numId w:val="2"/>
        </w:numPr>
        <w:spacing w:before="60" w:after="60"/>
      </w:pPr>
      <w:r>
        <w:rPr>
          <w:rFonts w:ascii="Arial" w:cs="Arial" w:eastAsia="Arial" w:hAnsi="Arial"/>
          <w:b/>
          <w:bCs/>
          <w:color w:val="0D2240"/>
          <w:sz w:val="22"/>
          <w:szCs w:val="22"/>
        </w:rPr>
        <w:t xml:space="preserve">Mercado ativo para créditos brasileiros: </w:t>
      </w:r>
      <w:r>
        <w:rPr>
          <w:rFonts w:ascii="Arial" w:cs="Arial" w:eastAsia="Arial" w:hAnsi="Arial"/>
          <w:sz w:val="22"/>
          <w:szCs w:val="22"/>
        </w:rPr>
        <w:t xml:space="preserve">o volume de novas emissões no início de 2026 indica janela favorável de apetite de risco.</w:t>
      </w:r>
    </w:p>
    <w:p>
      <w:pPr>
        <w:pStyle w:val="ListParagraph"/>
        <w:numPr>
          <w:ilvl w:val="0"/>
          <w:numId w:val="2"/>
        </w:numPr>
        <w:spacing w:before="60" w:after="60"/>
      </w:pPr>
      <w:r>
        <w:rPr>
          <w:rFonts w:ascii="Arial" w:cs="Arial" w:eastAsia="Arial" w:hAnsi="Arial"/>
          <w:b/>
          <w:bCs/>
          <w:color w:val="0D2240"/>
          <w:sz w:val="22"/>
          <w:szCs w:val="22"/>
        </w:rPr>
        <w:t xml:space="preserve">Spread de rating é relevante: </w:t>
      </w:r>
      <w:r>
        <w:rPr>
          <w:rFonts w:ascii="Arial" w:cs="Arial" w:eastAsia="Arial" w:hAnsi="Arial"/>
          <w:sz w:val="22"/>
          <w:szCs w:val="22"/>
        </w:rPr>
        <w:t xml:space="preserve">Bradesco e BTG (Ba1/Ba1) captaram a 5,38–5,50%. Azul (B-) precisou pagar 9,88–10,13%. O JBJ (B+/BB-) estaria no espectro intermediário — coerente com os 7–8s% indicativos.</w:t>
      </w:r>
    </w:p>
    <w:p>
      <w:pPr>
        <w:pStyle w:val="ListParagraph"/>
        <w:numPr>
          <w:ilvl w:val="0"/>
          <w:numId w:val="2"/>
        </w:numPr>
        <w:spacing w:before="60" w:after="60"/>
      </w:pPr>
      <w:r>
        <w:rPr>
          <w:rFonts w:ascii="Arial" w:cs="Arial" w:eastAsia="Arial" w:hAnsi="Arial"/>
          <w:b/>
          <w:bCs/>
          <w:color w:val="0D2240"/>
          <w:sz w:val="22"/>
          <w:szCs w:val="22"/>
        </w:rPr>
        <w:t xml:space="preserve">Tamanho importa para performance pós-emissão: </w:t>
      </w:r>
      <w:r>
        <w:rPr>
          <w:rFonts w:ascii="Arial" w:cs="Arial" w:eastAsia="Arial" w:hAnsi="Arial"/>
          <w:sz w:val="22"/>
          <w:szCs w:val="22"/>
        </w:rPr>
        <w:t xml:space="preserve">papéis maiores (Bradesco, BTG, Azul) mostraram performance mais estável. Papéis menores (Jalles Machado) sofreram mais — argumento adicional para o JBJ iniciar pela Fase 1 (ECP/STN) e não ir direto ao benchmark bond.</w:t>
      </w:r>
    </w:p>
    <w:p>
      <w:pPr>
        <w:pStyle w:val="ListParagraph"/>
        <w:numPr>
          <w:ilvl w:val="0"/>
          <w:numId w:val="2"/>
        </w:numPr>
        <w:spacing w:before="60" w:after="60"/>
      </w:pPr>
      <w:r>
        <w:rPr>
          <w:rFonts w:ascii="Arial" w:cs="Arial" w:eastAsia="Arial" w:hAnsi="Arial"/>
          <w:b/>
          <w:bCs/>
          <w:color w:val="0D2240"/>
          <w:sz w:val="22"/>
          <w:szCs w:val="22"/>
        </w:rPr>
        <w:t xml:space="preserve">Setor agro/proteína ainda não representado: </w:t>
      </w:r>
      <w:r>
        <w:rPr>
          <w:rFonts w:ascii="Arial" w:cs="Arial" w:eastAsia="Arial" w:hAnsi="Arial"/>
          <w:sz w:val="22"/>
          <w:szCs w:val="22"/>
        </w:rPr>
        <w:t xml:space="preserve">não há nenhum novo papel do setor proteína/agro no início de 2026 — o que pode representar oportunidade de diferenciação.</w:t>
      </w:r>
    </w:p>
    <w:p>
      <w:r>
        <w:br w:type="page"/>
      </w:r>
    </w:p>
    <w:p>
      <w:pPr>
        <w:pStyle w:val="Heading1"/>
        <w:spacing w:before="480" w:after="200"/>
      </w:pPr>
      <w:r>
        <w:rPr>
          <w:rFonts w:ascii="Arial" w:cs="Arial" w:eastAsia="Arial" w:hAnsi="Arial"/>
          <w:b/>
          <w:bCs/>
          <w:color w:val="0D2240"/>
          <w:sz w:val="36"/>
          <w:szCs w:val="36"/>
        </w:rPr>
        <w:t xml:space="preserve">Capítulo 11</w:t>
      </w:r>
    </w:p>
    <w:p>
      <w:pPr>
        <w:pBdr>
          <w:bottom w:val="single" w:color="B8912A" w:sz="4" w:space="4"/>
        </w:pBdr>
        <w:spacing w:before="360" w:after="120"/>
      </w:pPr>
      <w:r>
        <w:rPr>
          <w:rFonts w:ascii="Arial" w:cs="Arial" w:eastAsia="Arial" w:hAnsi="Arial"/>
          <w:b/>
          <w:bCs/>
          <w:color w:val="0D2240"/>
          <w:sz w:val="36"/>
          <w:szCs w:val="36"/>
        </w:rPr>
        <w:t xml:space="preserve">Glossário Técnico de DCM</w:t>
      </w:r>
    </w:p>
    <w:p>
      <w:pPr>
        <w:spacing w:before="80" w:after="80"/>
      </w:pPr>
      <w:r>
        <w:t xml:space="preserve"/>
      </w:r>
    </w:p>
    <w:p>
      <w:pPr>
        <w:spacing w:before="80" w:after="80"/>
        <w:jc w:val="both"/>
      </w:pPr>
      <w:r>
        <w:rPr>
          <w:rFonts w:ascii="Arial" w:cs="Arial" w:eastAsia="Arial" w:hAnsi="Arial"/>
          <w:color w:val="1A1A1A"/>
          <w:sz w:val="22"/>
          <w:szCs w:val="22"/>
        </w:rPr>
        <w:t xml:space="preserve">A linguagem técnica do mercado de dívida internacional é extensa. Este glossário cobre os termos essenciais que o profissional de DCM deve dominar para interagir com clientes, investidores e colegas.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0C0C0" w:sz="1"/>
              <w:left w:val="single" w:color="C0C0C0" w:sz="1"/>
              <w:bottom w:val="single" w:color="C0C0C0" w:sz="1"/>
              <w:right w:val="single" w:color="C0C0C0" w:sz="1"/>
            </w:tcBorders>
            <w:shd w:fill="0D22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Termo</w:t>
            </w:r>
          </w:p>
        </w:tc>
        <w:tc>
          <w:tcPr>
            <w:tcW w:type="dxa" w:w="5960"/>
            <w:tcBorders>
              <w:top w:val="single" w:color="C0C0C0" w:sz="1"/>
              <w:left w:val="single" w:color="C0C0C0" w:sz="1"/>
              <w:bottom w:val="single" w:color="C0C0C0" w:sz="1"/>
              <w:right w:val="single" w:color="C0C0C0" w:sz="1"/>
            </w:tcBorders>
            <w:shd w:fill="0D22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Definição</w:t>
            </w:r>
          </w:p>
        </w:tc>
      </w:tr>
      <w:tr>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AT1 / Additional Tier 1</w:t>
            </w:r>
          </w:p>
        </w:tc>
        <w:tc>
          <w:tcPr>
            <w:tcW w:type="dxa" w:w="5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Instrumento de dívida subordinada emitido por bancos, que absorve perdas antes da dívida sênior. Geralmente perpétuo com opção de resgate (Call).</w:t>
            </w:r>
          </w:p>
        </w:tc>
      </w:tr>
      <w:tr>
        <w:tc>
          <w:tcPr>
            <w:tcW w:type="dxa" w:w="3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Benchmark Bond</w:t>
            </w:r>
          </w:p>
        </w:tc>
        <w:tc>
          <w:tcPr>
            <w:tcW w:type="dxa" w:w="596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Emissão de grande porte (tipicamente US$ 300MM+) que serve como referência de precificação para emissões futuras do mesmo emissor ou do setor.</w:t>
            </w:r>
          </w:p>
        </w:tc>
      </w:tr>
      <w:tr>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Bookbuilding</w:t>
            </w:r>
          </w:p>
        </w:tc>
        <w:tc>
          <w:tcPr>
            <w:tcW w:type="dxa" w:w="5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Processo de construção do livro de ordens de uma emissão — o banco coletandemanda dos investidores (preço e volume desejados) para determinar o preço final.</w:t>
            </w:r>
          </w:p>
        </w:tc>
      </w:tr>
      <w:tr>
        <w:tc>
          <w:tcPr>
            <w:tcW w:type="dxa" w:w="3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Bullet</w:t>
            </w:r>
          </w:p>
        </w:tc>
        <w:tc>
          <w:tcPr>
            <w:tcW w:type="dxa" w:w="596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Estrutura de reembolso do principal onde o valor total é pago na data de vencimento (sem amortização periódica).</w:t>
            </w:r>
          </w:p>
        </w:tc>
      </w:tr>
      <w:tr>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Call Option</w:t>
            </w:r>
          </w:p>
        </w:tc>
        <w:tc>
          <w:tcPr>
            <w:tcW w:type="dxa" w:w="5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Direito do emissor de resgatar antecipadamente o papel a um preço pré-definido em datas específicas.</w:t>
            </w:r>
          </w:p>
        </w:tc>
      </w:tr>
      <w:tr>
        <w:tc>
          <w:tcPr>
            <w:tcW w:type="dxa" w:w="3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Covenant</w:t>
            </w:r>
          </w:p>
        </w:tc>
        <w:tc>
          <w:tcPr>
            <w:tcW w:type="dxa" w:w="596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Cláusula de proteção no indenture — pode ser afirmativa (emissor se compromete a fazer algo) ou negativa (emissor se compromete a não fazer algo).</w:t>
            </w:r>
          </w:p>
        </w:tc>
      </w:tr>
      <w:tr>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Duration</w:t>
            </w:r>
          </w:p>
        </w:tc>
        <w:tc>
          <w:tcPr>
            <w:tcW w:type="dxa" w:w="5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Medida de sensibilidade do preço de um bond a variações nas taxas de juros. Quanto maior a duration, maior a volatilidade de preço.</w:t>
            </w:r>
          </w:p>
        </w:tc>
      </w:tr>
      <w:tr>
        <w:tc>
          <w:tcPr>
            <w:tcW w:type="dxa" w:w="3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EMTN (Euro Medium Term Note)</w:t>
            </w:r>
          </w:p>
        </w:tc>
        <w:tc>
          <w:tcPr>
            <w:tcW w:type="dxa" w:w="596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Programa de emissão de notas de médio prazo que permite múltiplas emissões sob um único framework legal.</w:t>
            </w:r>
          </w:p>
        </w:tc>
      </w:tr>
      <w:tr>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ECP (Euro Commercial Paper)</w:t>
            </w:r>
          </w:p>
        </w:tc>
        <w:tc>
          <w:tcPr>
            <w:tcW w:type="dxa" w:w="5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Programa de emissão de papéis de curto prazo (até 12 meses), geralmente emitidos com deságio (OID).</w:t>
            </w:r>
          </w:p>
        </w:tc>
      </w:tr>
      <w:tr>
        <w:tc>
          <w:tcPr>
            <w:tcW w:type="dxa" w:w="3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Fiscal Agency Agreement (FAA)</w:t>
            </w:r>
          </w:p>
        </w:tc>
        <w:tc>
          <w:tcPr>
            <w:tcW w:type="dxa" w:w="596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Alternativa ao indenture em transações Reg S — mais simples e barato; o fiscal agent não representa os bondholders ativamente.</w:t>
            </w:r>
          </w:p>
        </w:tc>
      </w:tr>
      <w:tr>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Green Bond / SLB</w:t>
            </w:r>
          </w:p>
        </w:tc>
        <w:tc>
          <w:tcPr>
            <w:tcW w:type="dxa" w:w="5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Bonds cujos recursos são vinculados a projetos sustentáveis (Green Bond) ou cujo coupon varia conforme metas ESG do emissor (Sustainability-Linked Bond).</w:t>
            </w:r>
          </w:p>
        </w:tc>
      </w:tr>
      <w:tr>
        <w:tc>
          <w:tcPr>
            <w:tcW w:type="dxa" w:w="3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High Yield (HY)</w:t>
            </w:r>
          </w:p>
        </w:tc>
        <w:tc>
          <w:tcPr>
            <w:tcW w:type="dxa" w:w="596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Segmento de dívida corporativa com rating especulativo (abaixo de BBB-/Baa3). Oferece yields mais altos em compensação pelo maior risco de crédito.</w:t>
            </w:r>
          </w:p>
        </w:tc>
      </w:tr>
      <w:tr>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Indenture</w:t>
            </w:r>
          </w:p>
        </w:tc>
        <w:tc>
          <w:tcPr>
            <w:tcW w:type="dxa" w:w="5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Contrato principal entre o emissor e o trustee que define todos os termos e condições do bond — covenants, eventos de default, reparação, etc.</w:t>
            </w:r>
          </w:p>
        </w:tc>
      </w:tr>
      <w:tr>
        <w:tc>
          <w:tcPr>
            <w:tcW w:type="dxa" w:w="3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Investment Grade (IG)</w:t>
            </w:r>
          </w:p>
        </w:tc>
        <w:tc>
          <w:tcPr>
            <w:tcW w:type="dxa" w:w="596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Rating BBB-/Baa3 ou superior. Acesso a uma base de investidores muito mais ampla (fundos de pensão, seguradoras) e spreads significativamente mais baixos.</w:t>
            </w:r>
          </w:p>
        </w:tc>
      </w:tr>
      <w:tr>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ISIN</w:t>
            </w:r>
          </w:p>
        </w:tc>
        <w:tc>
          <w:tcPr>
            <w:tcW w:type="dxa" w:w="5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International Securities Identification Number — código único de identificação de um título para fins de negociação e custódia.</w:t>
            </w:r>
          </w:p>
        </w:tc>
      </w:tr>
      <w:tr>
        <w:tc>
          <w:tcPr>
            <w:tcW w:type="dxa" w:w="3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MTN (Medium Term Note)</w:t>
            </w:r>
          </w:p>
        </w:tc>
        <w:tc>
          <w:tcPr>
            <w:tcW w:type="dxa" w:w="596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Genérico para notas de médio prazo. No contexto offshore, EMTN é a versão 'Euro' desse instrumento.</w:t>
            </w:r>
          </w:p>
        </w:tc>
      </w:tr>
      <w:tr>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NDR (Non-Deal Roadshow)</w:t>
            </w:r>
          </w:p>
        </w:tc>
        <w:tc>
          <w:tcPr>
            <w:tcW w:type="dxa" w:w="5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Reuniões com investidores sem transação ativa — objetivo de educação de mercado e construção de relacionamento.</w:t>
            </w:r>
          </w:p>
        </w:tc>
      </w:tr>
      <w:tr>
        <w:tc>
          <w:tcPr>
            <w:tcW w:type="dxa" w:w="3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OID (Original Issue Discount)</w:t>
            </w:r>
          </w:p>
        </w:tc>
        <w:tc>
          <w:tcPr>
            <w:tcW w:type="dxa" w:w="596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Emissão abaixo do par (ex: preço 95 para nominal 100). O retorno ao investidor vem da apreciação para o par, sem pagamento de cupom periódico.</w:t>
            </w:r>
          </w:p>
        </w:tc>
      </w:tr>
      <w:tr>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Offering Memorandum (OM)</w:t>
            </w:r>
          </w:p>
        </w:tc>
        <w:tc>
          <w:tcPr>
            <w:tcW w:type="dxa" w:w="5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Documento de divulgação completo do emissor e dos termos da emissão — equivalente ao prospecto no mercado doméstico.</w:t>
            </w:r>
          </w:p>
        </w:tc>
      </w:tr>
      <w:tr>
        <w:tc>
          <w:tcPr>
            <w:tcW w:type="dxa" w:w="3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QIB (Qualified Institutional Buyer)</w:t>
            </w:r>
          </w:p>
        </w:tc>
        <w:tc>
          <w:tcPr>
            <w:tcW w:type="dxa" w:w="596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Investidor institucional americano qualificado para participar de ofertas Rule 144A. Deve ter carteira própria mínima de US$ 100MM.</w:t>
            </w:r>
          </w:p>
        </w:tc>
      </w:tr>
      <w:tr>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Reg S (Regulation S)</w:t>
            </w:r>
          </w:p>
        </w:tc>
        <w:tc>
          <w:tcPr>
            <w:tcW w:type="dxa" w:w="5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Isenção de registro SEC para transações exclusivamente fora dos EUA.</w:t>
            </w:r>
          </w:p>
        </w:tc>
      </w:tr>
      <w:tr>
        <w:tc>
          <w:tcPr>
            <w:tcW w:type="dxa" w:w="3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Re-tap / Tap</w:t>
            </w:r>
          </w:p>
        </w:tc>
        <w:tc>
          <w:tcPr>
            <w:tcW w:type="dxa" w:w="596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Reabertura de uma emissão existente para emitir volume adicional sob os mesmos termos (ISIN, coupon, vencimento). O novo volume é fungível com o original.</w:t>
            </w:r>
          </w:p>
        </w:tc>
      </w:tr>
      <w:tr>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Rule 144A</w:t>
            </w:r>
          </w:p>
        </w:tc>
        <w:tc>
          <w:tcPr>
            <w:tcW w:type="dxa" w:w="5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Isenção de registro SEC que permite que QIBs americanos invistam em securities não-registradas.</w:t>
            </w:r>
          </w:p>
        </w:tc>
      </w:tr>
      <w:tr>
        <w:tc>
          <w:tcPr>
            <w:tcW w:type="dxa" w:w="3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Trustee</w:t>
            </w:r>
          </w:p>
        </w:tc>
        <w:tc>
          <w:tcPr>
            <w:tcW w:type="dxa" w:w="596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Agente independente que representa os interesses dos bondholders — ativa covenants, monitora compliance, aciona em caso de default.</w:t>
            </w:r>
          </w:p>
        </w:tc>
      </w:tr>
      <w:tr>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YTM (Yield to Maturity)</w:t>
            </w:r>
          </w:p>
        </w:tc>
        <w:tc>
          <w:tcPr>
            <w:tcW w:type="dxa" w:w="5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Taxa de retorno anual de um bond considerando todos os fluxos de caixa (cupons + principal) até o vencimento.</w:t>
            </w:r>
          </w:p>
        </w:tc>
      </w:tr>
      <w:tr>
        <w:tc>
          <w:tcPr>
            <w:tcW w:type="dxa" w:w="340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Z-Spread</w:t>
            </w:r>
          </w:p>
        </w:tc>
        <w:tc>
          <w:tcPr>
            <w:tcW w:type="dxa" w:w="5960"/>
            <w:tcBorders>
              <w:top w:val="single" w:color="C0C0C0" w:sz="1"/>
              <w:left w:val="single" w:color="C0C0C0" w:sz="1"/>
              <w:bottom w:val="single" w:color="C0C0C0" w:sz="1"/>
              <w:right w:val="single" w:color="C0C0C0" w:sz="1"/>
            </w:tcBorders>
            <w:shd w:fill="EEF4FA" w:val="clear"/>
            <w:tcMar>
              <w:top w:type="dxa" w:w="80"/>
              <w:left w:type="dxa" w:w="120"/>
              <w:bottom w:type="dxa" w:w="80"/>
              <w:right w:type="dxa" w:w="120"/>
            </w:tcMar>
          </w:tcPr>
          <w:p>
            <w:pPr>
              <w:spacing w:before="40" w:after="40"/>
            </w:pPr>
            <w:r>
              <w:rPr>
                <w:rFonts w:ascii="Arial" w:cs="Arial" w:eastAsia="Arial" w:hAnsi="Arial"/>
                <w:sz w:val="20"/>
                <w:szCs w:val="20"/>
              </w:rPr>
              <w:t xml:space="preserve">Spread constante sobre a curva de swap zero que iguala o valor presente dos fluxos ao preço de mercado. Principal métrica de spread de crédito.</w:t>
            </w:r>
          </w:p>
        </w:tc>
      </w:tr>
    </w:tbl>
    <w:p>
      <w:r>
        <w:br w:type="page"/>
      </w:r>
    </w:p>
    <w:p>
      <w:pPr>
        <w:pStyle w:val="Heading1"/>
        <w:spacing w:before="480" w:after="200"/>
      </w:pPr>
      <w:r>
        <w:rPr>
          <w:rFonts w:ascii="Arial" w:cs="Arial" w:eastAsia="Arial" w:hAnsi="Arial"/>
          <w:b/>
          <w:bCs/>
          <w:color w:val="0D2240"/>
          <w:sz w:val="36"/>
          <w:szCs w:val="36"/>
        </w:rPr>
        <w:t xml:space="preserve">Capítulo 12</w:t>
      </w:r>
    </w:p>
    <w:p>
      <w:pPr>
        <w:pBdr>
          <w:bottom w:val="single" w:color="B8912A" w:sz="4" w:space="4"/>
        </w:pBdr>
        <w:spacing w:before="360" w:after="120"/>
      </w:pPr>
      <w:r>
        <w:rPr>
          <w:rFonts w:ascii="Arial" w:cs="Arial" w:eastAsia="Arial" w:hAnsi="Arial"/>
          <w:b/>
          <w:bCs/>
          <w:color w:val="0D2240"/>
          <w:sz w:val="36"/>
          <w:szCs w:val="36"/>
        </w:rPr>
        <w:t xml:space="preserve">Exercícios Práticos e Casos de Uso</w:t>
      </w:r>
    </w:p>
    <w:p>
      <w:pPr>
        <w:spacing w:before="80" w:after="80"/>
      </w:pPr>
      <w:r>
        <w:t xml:space="preserve"/>
      </w:r>
    </w:p>
    <w:p>
      <w:pPr>
        <w:spacing w:before="80" w:after="80"/>
        <w:jc w:val="both"/>
      </w:pPr>
      <w:r>
        <w:rPr>
          <w:rFonts w:ascii="Arial" w:cs="Arial" w:eastAsia="Arial" w:hAnsi="Arial"/>
          <w:color w:val="1A1A1A"/>
          <w:sz w:val="22"/>
          <w:szCs w:val="22"/>
        </w:rPr>
        <w:t xml:space="preserve">Este capítulo contém exercícios baseados em situações reais de DCM. Use-os para fixar o conteúdo e preparar-se para conversas com clientes e investidores.</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Exercício 1 — Escolha de Instrumento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160"/>
              <w:bottom w:type="dxa" w:w="60"/>
              <w:right w:type="dxa" w:w="160"/>
            </w:tcMar>
          </w:tcPr>
          <w:p>
            <w:r>
              <w:rPr>
                <w:rFonts w:ascii="Arial" w:cs="Arial" w:eastAsia="Arial" w:hAnsi="Arial"/>
                <w:b/>
                <w:bCs/>
                <w:color w:val="0D2240"/>
                <w:sz w:val="22"/>
                <w:szCs w:val="22"/>
              </w:rPr>
              <w:t xml:space="preserve">CENÁRIO</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O CFO do Grupo JBJ liga para você às 14h de uma segunda-feira. Ele diz:</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'Precisamos captar US$ 30 milhões em dólares para financiar nosso capital de giro da safra de soja</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que começa em 60 dias. Temos caixa robusto mas precisamos preservar as linhas de crédito domésticas</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para outras necessidades. Qual instrumento você recomenda?'</w:t>
            </w:r>
          </w:p>
        </w:tc>
      </w:tr>
    </w:tbl>
    <w:p>
      <w:pPr>
        <w:spacing w:before="60" w:after="60"/>
      </w:pPr>
      <w:r>
        <w:t xml:space="preserve"/>
      </w:r>
    </w:p>
    <w:p>
      <w:pPr>
        <w:spacing w:before="80" w:after="80"/>
        <w:jc w:val="both"/>
      </w:pPr>
      <w:r>
        <w:rPr>
          <w:rFonts w:ascii="Arial" w:cs="Arial" w:eastAsia="Arial" w:hAnsi="Arial"/>
          <w:b/>
          <w:bCs/>
          <w:color w:val="1A1A1A"/>
          <w:sz w:val="22"/>
          <w:szCs w:val="22"/>
        </w:rPr>
        <w:t xml:space="preserve">Resposta esperada: </w:t>
      </w:r>
      <w:r>
        <w:rPr>
          <w:rFonts w:ascii="Arial" w:cs="Arial" w:eastAsia="Arial" w:hAnsi="Arial"/>
          <w:color w:val="1A1A1A"/>
          <w:sz w:val="22"/>
          <w:szCs w:val="22"/>
        </w:rPr>
        <w:t xml:space="preserve">ECP standalone (Fase 1), Reg S only. O timing (60 dias para o início da safra) exige velocidade de execução. O montante (US$ 30MM) está dentro do range do ECP. A natureza de capital de giro alinha com a finalidade natural do ECP. Se o programa ainda não estiver estabelecido, uma emissão standalone Reg S pode ser executada em 4–6 semanas. Se o programa já existir, em 1–2 semanas. A recomendação proativa deve ser: estabeleça o programa agora, antes que a necessidade seja urgente.</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Exercício 2 — Reg S vs. 144A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160"/>
              <w:bottom w:type="dxa" w:w="60"/>
              <w:right w:type="dxa" w:w="160"/>
            </w:tcMar>
          </w:tcPr>
          <w:p>
            <w:r>
              <w:rPr>
                <w:rFonts w:ascii="Arial" w:cs="Arial" w:eastAsia="Arial" w:hAnsi="Arial"/>
                <w:b/>
                <w:bCs/>
                <w:color w:val="0D2240"/>
                <w:sz w:val="22"/>
                <w:szCs w:val="22"/>
              </w:rPr>
              <w:t xml:space="preserve">CENÁRIO</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O JBJ está planejando uma emissão de US$ 150MM de 3 anos. O Diretor Financeiro pergunta:</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'Por que não incluir a regra 144A para ter acesso a mais investidores americanos?'</w:t>
            </w:r>
          </w:p>
        </w:tc>
      </w:tr>
    </w:tbl>
    <w:p>
      <w:pPr>
        <w:spacing w:before="60" w:after="60"/>
      </w:pPr>
      <w:r>
        <w:t xml:space="preserve"/>
      </w:r>
    </w:p>
    <w:p>
      <w:pPr>
        <w:spacing w:before="80" w:after="80"/>
        <w:jc w:val="both"/>
      </w:pPr>
      <w:r>
        <w:rPr>
          <w:rFonts w:ascii="Arial" w:cs="Arial" w:eastAsia="Arial" w:hAnsi="Arial"/>
          <w:b/>
          <w:bCs/>
          <w:color w:val="1A1A1A"/>
          <w:sz w:val="22"/>
          <w:szCs w:val="22"/>
        </w:rPr>
        <w:t xml:space="preserve">Resposta esperada: </w:t>
      </w:r>
      <w:r>
        <w:rPr>
          <w:rFonts w:ascii="Arial" w:cs="Arial" w:eastAsia="Arial" w:hAnsi="Arial"/>
          <w:color w:val="1A1A1A"/>
          <w:sz w:val="22"/>
          <w:szCs w:val="22"/>
        </w:rPr>
        <w:t xml:space="preserve">Para US$ 150MM, a inclusão de 144A adiciona US$ 200–350k em custos legais e 4–6 semanas de processo, sem incremento proporcional de demanda. Investidores americanos QIBs geralmente só participam de transações com liquidez secundária garantida (US$ 200MM+). Com US$ 150MM Reg S only, a base de investidores offshore não-americanos (Europa, Ásia, LatAm) é mais que suficiente para absorver o volume. A recomendação é manter Reg S only para esta transação e reservar a estrutura 144A para o Benchmark Bond da Fase 3.</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Exercício 3 — NDR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160"/>
              <w:bottom w:type="dxa" w:w="60"/>
              <w:right w:type="dxa" w:w="160"/>
            </w:tcMar>
          </w:tcPr>
          <w:p>
            <w:r>
              <w:rPr>
                <w:rFonts w:ascii="Arial" w:cs="Arial" w:eastAsia="Arial" w:hAnsi="Arial"/>
                <w:b/>
                <w:bCs/>
                <w:color w:val="0D2240"/>
                <w:sz w:val="22"/>
                <w:szCs w:val="22"/>
              </w:rPr>
              <w:t xml:space="preserve">CENÁRIO</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Você está montando o plano de NDR para o JBJ antes da primeira emissão. Quais 3 cidades você</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visitaria, quais 3 fundos você priorizaria em cada cidade, e qual seria o principal ponto de</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preocupação que você anteciparia dos investidores?</w:t>
            </w:r>
          </w:p>
        </w:tc>
      </w:tr>
    </w:tbl>
    <w:p>
      <w:pPr>
        <w:spacing w:before="60" w:after="60"/>
      </w:pPr>
      <w:r>
        <w:t xml:space="preserve"/>
      </w:r>
    </w:p>
    <w:p>
      <w:pPr>
        <w:spacing w:before="80" w:after="80"/>
        <w:jc w:val="both"/>
      </w:pPr>
      <w:r>
        <w:rPr>
          <w:rFonts w:ascii="Arial" w:cs="Arial" w:eastAsia="Arial" w:hAnsi="Arial"/>
          <w:b/>
          <w:bCs/>
          <w:color w:val="1A1A1A"/>
          <w:sz w:val="22"/>
          <w:szCs w:val="22"/>
        </w:rPr>
        <w:t xml:space="preserve">Resposta esperada: </w:t>
      </w:r>
      <w:r>
        <w:rPr>
          <w:rFonts w:ascii="Arial" w:cs="Arial" w:eastAsia="Arial" w:hAnsi="Arial"/>
          <w:color w:val="1A1A1A"/>
          <w:sz w:val="22"/>
          <w:szCs w:val="22"/>
        </w:rPr>
        <w:t xml:space="preserve">Cidades prioritárias: Nova York (maior concentração de EM funds), Londres (maior concentração de EM funds europeus e acesso a mercados de private banking), e Zurique ou Frankfurt (private banking europeu, relevante para ECP). Fundos-alvo: Ashmore (EM specialist), Bluebay/RBC, PIMCO EM Team (NY), M&amp;G Investments (Londres), Amundi EM (Paris/Frankfurt). Principal preocupação antecipada dos investidores: (1) free cash flow negativo no período mais recente — deve-se contextualizar como reflexo de investimento em crescimento, não de deterioração; (2) ausência de track record offshore — mitigar com a força dos fundamentos de alavancagem e caixa; (3) concentração em um único setor e dependência de commodities — mitigar com diversificação de culturas e clientes de exportação.</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Exercício 4 — Precificação Relativa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160"/>
              <w:bottom w:type="dxa" w:w="60"/>
              <w:right w:type="dxa" w:w="160"/>
            </w:tcMar>
          </w:tcPr>
          <w:p>
            <w:r>
              <w:rPr>
                <w:rFonts w:ascii="Arial" w:cs="Arial" w:eastAsia="Arial" w:hAnsi="Arial"/>
                <w:b/>
                <w:bCs/>
                <w:color w:val="0D2240"/>
                <w:sz w:val="22"/>
                <w:szCs w:val="22"/>
              </w:rPr>
              <w:t xml:space="preserve">CENÁRIO</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O JBJ está emitindo seu primeiro STN de 3 anos. A Minerva tem um papel de 4,5 anos com YTM de 6,03%</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(Z-spread de 263bps). Como você construiria o argumento de precificação para os investidores,</w:t>
            </w:r>
          </w:p>
        </w:tc>
      </w:tr>
      <w:tr>
        <w:tc>
          <w:tcPr>
            <w:tcBorders>
              <w:top w:val="none" w:color="FFFFFF" w:sz="0"/>
              <w:left w:val="none" w:color="FFFFFF" w:sz="0"/>
              <w:bottom w:val="none" w:color="FFFFFF" w:sz="0"/>
              <w:right w:val="none" w:color="FFFFFF" w:sz="0"/>
            </w:tcBorders>
            <w:shd w:fill="D6E4F0" w:val="clear"/>
            <w:tcMar>
              <w:top w:type="dxa" w:w="40"/>
              <w:left w:type="dxa" w:w="160"/>
              <w:bottom w:type="dxa" w:w="40"/>
              <w:right w:type="dxa" w:w="160"/>
            </w:tcMar>
          </w:tcPr>
          <w:p>
            <w:pPr>
              <w:jc w:val="both"/>
            </w:pPr>
            <w:r>
              <w:rPr>
                <w:rFonts w:ascii="Arial" w:cs="Arial" w:eastAsia="Arial" w:hAnsi="Arial"/>
                <w:sz w:val="21"/>
                <w:szCs w:val="21"/>
              </w:rPr>
              <w:t xml:space="preserve">e qual yield initial price thoughts (IPTs) você proporia?</w:t>
            </w:r>
          </w:p>
        </w:tc>
      </w:tr>
    </w:tbl>
    <w:p>
      <w:pPr>
        <w:spacing w:before="60" w:after="60"/>
      </w:pPr>
      <w:r>
        <w:t xml:space="preserve"/>
      </w:r>
    </w:p>
    <w:p>
      <w:pPr>
        <w:spacing w:before="80" w:after="80"/>
        <w:jc w:val="both"/>
      </w:pPr>
      <w:r>
        <w:rPr>
          <w:rFonts w:ascii="Arial" w:cs="Arial" w:eastAsia="Arial" w:hAnsi="Arial"/>
          <w:b/>
          <w:bCs/>
          <w:color w:val="1A1A1A"/>
          <w:sz w:val="22"/>
          <w:szCs w:val="22"/>
        </w:rPr>
        <w:t xml:space="preserve">Resposta esperada: </w:t>
      </w:r>
      <w:r>
        <w:rPr>
          <w:rFonts w:ascii="Arial" w:cs="Arial" w:eastAsia="Arial" w:hAnsi="Arial"/>
          <w:color w:val="1A1A1A"/>
          <w:sz w:val="22"/>
          <w:szCs w:val="22"/>
        </w:rPr>
        <w:t xml:space="preserve">O argumento de relative value seria: Minerva é rating BB (vs. B+/BB- do JBJ — diferença de 0–1 notch) e tem alavancagem líquida de 2,59x (vs. 0,06x do JBJ — diferença expressiva em favor do JBJ). Do ponto de vista fundamental de crédito, o JBJ é materialmente mais conservador. O prêmio a ser pago em relação à Minerva deve refletir exclusivamente: (i) ausência de nome/track record offshore (+100–150bps) e (ii) menor liquidez do papel (+50–75bps). Portanto, IPTs de '8s area' (+200–250bps sobre Minerva) é apropriado para o início do bookbuilding, com potencial de tight para '7s high area' se a demanda for robusta.</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Perguntas de verificação de conhecimento</w:t>
      </w:r>
    </w:p>
    <w:p>
      <w:pPr>
        <w:pStyle w:val="ListParagraph"/>
        <w:numPr>
          <w:ilvl w:val="0"/>
          <w:numId w:val="3"/>
        </w:numPr>
        <w:spacing w:before="60" w:after="60"/>
      </w:pPr>
      <w:r>
        <w:rPr>
          <w:rFonts w:ascii="Arial" w:cs="Arial" w:eastAsia="Arial" w:hAnsi="Arial"/>
          <w:sz w:val="22"/>
          <w:szCs w:val="22"/>
        </w:rPr>
        <w:t xml:space="preserve">Qual a diferença entre um ECP e um EMTN? Dê dois exemplos de quando usar cada um.</w:t>
      </w:r>
    </w:p>
    <w:p>
      <w:pPr>
        <w:pStyle w:val="ListParagraph"/>
        <w:numPr>
          <w:ilvl w:val="0"/>
          <w:numId w:val="3"/>
        </w:numPr>
        <w:spacing w:before="60" w:after="60"/>
      </w:pPr>
      <w:r>
        <w:rPr>
          <w:rFonts w:ascii="Arial" w:cs="Arial" w:eastAsia="Arial" w:hAnsi="Arial"/>
          <w:sz w:val="22"/>
          <w:szCs w:val="22"/>
        </w:rPr>
        <w:t xml:space="preserve">Por que uma emissão 144A custa mais e demora mais que uma Reg S only?</w:t>
      </w:r>
    </w:p>
    <w:p>
      <w:pPr>
        <w:pStyle w:val="ListParagraph"/>
        <w:numPr>
          <w:ilvl w:val="0"/>
          <w:numId w:val="3"/>
        </w:numPr>
        <w:spacing w:before="60" w:after="60"/>
      </w:pPr>
      <w:r>
        <w:rPr>
          <w:rFonts w:ascii="Arial" w:cs="Arial" w:eastAsia="Arial" w:hAnsi="Arial"/>
          <w:sz w:val="22"/>
          <w:szCs w:val="22"/>
        </w:rPr>
        <w:t xml:space="preserve">O que é um Z-spread e por que ele é preferível ao YTM para comparar créditos?</w:t>
      </w:r>
    </w:p>
    <w:p>
      <w:pPr>
        <w:pStyle w:val="ListParagraph"/>
        <w:numPr>
          <w:ilvl w:val="0"/>
          <w:numId w:val="3"/>
        </w:numPr>
        <w:spacing w:before="60" w:after="60"/>
      </w:pPr>
      <w:r>
        <w:rPr>
          <w:rFonts w:ascii="Arial" w:cs="Arial" w:eastAsia="Arial" w:hAnsi="Arial"/>
          <w:sz w:val="22"/>
          <w:szCs w:val="22"/>
        </w:rPr>
        <w:t xml:space="preserve">Explique o conceito de 'market seasoning' e sua importância para o JBJ.</w:t>
      </w:r>
    </w:p>
    <w:p>
      <w:pPr>
        <w:pStyle w:val="ListParagraph"/>
        <w:numPr>
          <w:ilvl w:val="0"/>
          <w:numId w:val="3"/>
        </w:numPr>
        <w:spacing w:before="60" w:after="60"/>
      </w:pPr>
      <w:r>
        <w:rPr>
          <w:rFonts w:ascii="Arial" w:cs="Arial" w:eastAsia="Arial" w:hAnsi="Arial"/>
          <w:sz w:val="22"/>
          <w:szCs w:val="22"/>
        </w:rPr>
        <w:t xml:space="preserve">Quais são os 3 principais diferenciais financeiros do JBJ em relação à Minerva?</w:t>
      </w:r>
    </w:p>
    <w:p>
      <w:pPr>
        <w:pStyle w:val="ListParagraph"/>
        <w:numPr>
          <w:ilvl w:val="0"/>
          <w:numId w:val="3"/>
        </w:numPr>
        <w:spacing w:before="60" w:after="60"/>
      </w:pPr>
      <w:r>
        <w:rPr>
          <w:rFonts w:ascii="Arial" w:cs="Arial" w:eastAsia="Arial" w:hAnsi="Arial"/>
          <w:sz w:val="22"/>
          <w:szCs w:val="22"/>
        </w:rPr>
        <w:t xml:space="preserve">Por que o JBJ não deveria ir direto para um Benchmark Bond (Fase 3) agora?</w:t>
      </w:r>
    </w:p>
    <w:p>
      <w:pPr>
        <w:pStyle w:val="ListParagraph"/>
        <w:numPr>
          <w:ilvl w:val="0"/>
          <w:numId w:val="3"/>
        </w:numPr>
        <w:spacing w:before="60" w:after="60"/>
      </w:pPr>
      <w:r>
        <w:rPr>
          <w:rFonts w:ascii="Arial" w:cs="Arial" w:eastAsia="Arial" w:hAnsi="Arial"/>
          <w:sz w:val="22"/>
          <w:szCs w:val="22"/>
        </w:rPr>
        <w:t xml:space="preserve">O que é um NDR e qual sua diferença para um Deal Roadshow?</w:t>
      </w:r>
    </w:p>
    <w:p>
      <w:pPr>
        <w:pStyle w:val="ListParagraph"/>
        <w:numPr>
          <w:ilvl w:val="0"/>
          <w:numId w:val="3"/>
        </w:numPr>
        <w:spacing w:before="60" w:after="60"/>
      </w:pPr>
      <w:r>
        <w:rPr>
          <w:rFonts w:ascii="Arial" w:cs="Arial" w:eastAsia="Arial" w:hAnsi="Arial"/>
          <w:sz w:val="22"/>
          <w:szCs w:val="22"/>
        </w:rPr>
        <w:t xml:space="preserve">Como você explicaria ao board do JBJ o racional da estratégia faseada em 3 minutos?</w:t>
      </w:r>
    </w:p>
    <w:p>
      <w:r>
        <w:br w:type="page"/>
      </w:r>
    </w:p>
    <w:p>
      <w:pPr>
        <w:pStyle w:val="Heading1"/>
        <w:spacing w:before="480" w:after="200"/>
      </w:pPr>
      <w:r>
        <w:rPr>
          <w:rFonts w:ascii="Arial" w:cs="Arial" w:eastAsia="Arial" w:hAnsi="Arial"/>
          <w:b/>
          <w:bCs/>
          <w:color w:val="0D2240"/>
          <w:sz w:val="36"/>
          <w:szCs w:val="36"/>
        </w:rPr>
        <w:t xml:space="preserve">Conclusão</w:t>
      </w:r>
    </w:p>
    <w:p>
      <w:pPr>
        <w:pBdr>
          <w:bottom w:val="single" w:color="B8912A" w:sz="4" w:space="4"/>
        </w:pBdr>
        <w:spacing w:before="360" w:after="120"/>
      </w:pPr>
      <w:r>
        <w:rPr>
          <w:rFonts w:ascii="Arial" w:cs="Arial" w:eastAsia="Arial" w:hAnsi="Arial"/>
          <w:b/>
          <w:bCs/>
          <w:color w:val="0D2240"/>
          <w:sz w:val="36"/>
          <w:szCs w:val="36"/>
        </w:rPr>
        <w:t xml:space="preserve">O Papel do Profissional de DCM</w:t>
      </w:r>
    </w:p>
    <w:p>
      <w:pPr>
        <w:spacing w:before="80" w:after="80"/>
      </w:pPr>
      <w:r>
        <w:t xml:space="preserve"/>
      </w:r>
    </w:p>
    <w:p>
      <w:pPr>
        <w:spacing w:before="80" w:after="80"/>
        <w:jc w:val="both"/>
      </w:pPr>
      <w:r>
        <w:rPr>
          <w:rFonts w:ascii="Arial" w:cs="Arial" w:eastAsia="Arial" w:hAnsi="Arial"/>
          <w:color w:val="1A1A1A"/>
          <w:sz w:val="22"/>
          <w:szCs w:val="22"/>
        </w:rPr>
        <w:t xml:space="preserve">Ao final deste guia, quero deixar uma reflexão sobre o papel real do profissional de DCM — que vai muito além de conhecer os instrumentos técnicos descritos nestas páginas.</w:t>
      </w:r>
    </w:p>
    <w:p>
      <w:pPr>
        <w:spacing w:before="60" w:after="60"/>
      </w:pPr>
      <w:r>
        <w:t xml:space="preserve"/>
      </w:r>
    </w:p>
    <w:p>
      <w:pPr>
        <w:spacing w:before="80" w:after="80"/>
        <w:jc w:val="both"/>
      </w:pPr>
      <w:r>
        <w:rPr>
          <w:rFonts w:ascii="Arial" w:cs="Arial" w:eastAsia="Arial" w:hAnsi="Arial"/>
          <w:color w:val="1A1A1A"/>
          <w:sz w:val="22"/>
          <w:szCs w:val="22"/>
        </w:rPr>
        <w:t xml:space="preserve">O mercado de dívida internacional é, antes de tudo, um mercado de confiança. Investidores que colocam dezenas de milhões de dólares em um papel emitido por uma empresa que nunca visitaram, em um setor que às vezes conhecem superficialmente, estão comprando não apenas o crédito — estão comprando a narrativa. Estão investindo na sua análise, na sua capacidade de fazer as perguntas certas ao emissor e de apresentar as respostas certas ao mercado.</w:t>
      </w:r>
    </w:p>
    <w:p>
      <w:pPr>
        <w:spacing w:before="60" w:after="60"/>
      </w:pPr>
      <w:r>
        <w:t xml:space="preserve"/>
      </w:r>
    </w:p>
    <w:p>
      <w:pPr>
        <w:spacing w:before="80" w:after="80"/>
        <w:jc w:val="both"/>
      </w:pPr>
      <w:r>
        <w:rPr>
          <w:rFonts w:ascii="Arial" w:cs="Arial" w:eastAsia="Arial" w:hAnsi="Arial"/>
          <w:color w:val="1A1A1A"/>
          <w:sz w:val="22"/>
          <w:szCs w:val="22"/>
        </w:rPr>
        <w:t xml:space="preserve">A estratégia faseada que este guia detalha — começar pequeno, construir credibilidade, escalar gradualmente — não é apenas uma estratégia de acesso ao mercado. É uma filosofia de construção de relacionamentos. O fundo que compra o primeiro ECP do JBJ de US$ 20MM em 2026 pode ser o cornerstone investor de um Benchmark Bond de US$ 300MM em 2028. Essa trajetória só é possível se o emissor cumprir o que prometeu, se os dados financeiros forem consistentes com o que foi apresentado no NDR, e se o profissional de DCM que intermediou essa relação continuar presente em cada etapa do caminho.</w:t>
      </w:r>
    </w:p>
    <w:p>
      <w:pPr>
        <w:spacing w:before="60" w:after="60"/>
      </w:pPr>
      <w:r>
        <w:t xml:space="preserve"/>
      </w:r>
    </w:p>
    <w:p>
      <w:pPr>
        <w:spacing w:before="80" w:after="80"/>
        <w:jc w:val="both"/>
      </w:pPr>
      <w:r>
        <w:rPr>
          <w:rFonts w:ascii="Arial" w:cs="Arial" w:eastAsia="Arial" w:hAnsi="Arial"/>
          <w:color w:val="1A1A1A"/>
          <w:sz w:val="22"/>
          <w:szCs w:val="22"/>
        </w:rPr>
        <w:t xml:space="preserve">Este guia é o seu ponto de partida. O mercado ensinará o restante.</w:t>
      </w:r>
    </w:p>
    <w:p>
      <w:pPr>
        <w:spacing w:before="120" w:after="120"/>
      </w:pPr>
      <w:r>
        <w:t xml:space="preserve"/>
      </w:r>
    </w:p>
    <w:p>
      <w:pPr>
        <w:pBdr>
          <w:bottom w:val="single" w:color="B8912A" w:sz="6" w:space="1"/>
        </w:pBdr>
        <w:spacing w:before="80" w:after="80"/>
      </w:pPr>
      <w:r>
        <w:t xml:space="preserve"/>
      </w:r>
    </w:p>
    <w:p>
      <w:pPr>
        <w:spacing w:before="60" w:after="60"/>
      </w:pPr>
      <w:r>
        <w:t xml:space="preserve"/>
      </w:r>
    </w:p>
    <w:p>
      <w:pPr>
        <w:spacing w:before="40"/>
        <w:jc w:val="center"/>
      </w:pPr>
      <w:r>
        <w:rPr>
          <w:rFonts w:ascii="Arial" w:cs="Arial" w:eastAsia="Arial" w:hAnsi="Arial"/>
          <w:i/>
          <w:iCs/>
          <w:color w:val="5A5A5A"/>
          <w:sz w:val="18"/>
          <w:szCs w:val="18"/>
        </w:rPr>
        <w:t xml:space="preserve">Grupo JBJ  |  BCP Securities  |  Fevereiro 2026  |  Material de Treinamento Interno — Confidencial</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12A" w:sz="4" w:space="4"/>
      </w:pBdr>
      <w:spacing w:before="80"/>
      <w:jc w:val="right"/>
    </w:pPr>
    <w:r>
      <w:rPr>
        <w:rFonts w:ascii="Arial" w:cs="Arial" w:eastAsia="Arial" w:hAnsi="Arial"/>
        <w:color w:val="5A5A5A"/>
        <w:sz w:val="18"/>
        <w:szCs w:val="18"/>
      </w:rPr>
      <w:t xml:space="preserve">Grupo JBJ — Estratégias de Acesso ao Mercado Internacional de Dívida  </w:t>
    </w:r>
    <w:r>
      <w:rPr>
        <w:rFonts w:ascii="Arial" w:cs="Arial" w:eastAsia="Arial" w:hAnsi="Arial"/>
        <w:color w:val="5A5A5A"/>
        <w:sz w:val="18"/>
        <w:szCs w:val="18"/>
      </w:rPr>
      <w:t xml:space="preserve">Página </w:t>
    </w:r>
    <w:r>
      <w:rPr>
        <w:rFonts w:ascii="Arial" w:cs="Arial" w:eastAsia="Arial" w:hAnsi="Arial"/>
        <w:color w:val="5A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12A" w:sz="4" w:space="4"/>
      </w:pBdr>
      <w:spacing w:after="80"/>
    </w:pPr>
    <w:r>
      <w:rPr>
        <w:rFonts w:ascii="Arial" w:cs="Arial" w:eastAsia="Arial" w:hAnsi="Arial"/>
        <w:color w:val="5A5A5A"/>
        <w:sz w:val="18"/>
        <w:szCs w:val="18"/>
      </w:rPr>
      <w:t xml:space="preserve">GUIA DE TREINAMENTO DCM — MERCADO DE CAPITAIS INTERNACIONAL  </w:t>
    </w:r>
    <w:r>
      <w:rPr>
        <w:rFonts w:ascii="Arial" w:cs="Arial" w:eastAsia="Arial" w:hAnsi="Arial"/>
        <w:b/>
        <w:bCs/>
        <w:color w:val="B8912A"/>
        <w:sz w:val="18"/>
        <w:szCs w:val="18"/>
      </w:rPr>
      <w:t xml:space="preserve">|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D2240"/>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D22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2026-03-21T13:59:46.751Z</dcterms:created>
  <dcterms:modified xsi:type="dcterms:W3CDTF">2026-03-21T13:59:46.753Z</dcterms:modified>
</cp:coreProperties>
</file>

<file path=docProps/custom.xml><?xml version="1.0" encoding="utf-8"?>
<Properties xmlns="http://schemas.openxmlformats.org/officeDocument/2006/custom-properties" xmlns:vt="http://schemas.openxmlformats.org/officeDocument/2006/docPropsVTypes"/>
</file>