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1440" w:after="200"/>
        <w:jc w:val="center"/>
      </w:pPr>
      <w:r>
        <w:rPr>
          <w:b/>
          <w:bCs/>
          <w:color w:val="FFFFFF"/>
          <w:sz w:val="48"/>
          <w:szCs w:val="48"/>
        </w:rPr>
        <w:t xml:space="preserve">MANUAL DE TREINAMENTO</w:t>
      </w:r>
    </w:p>
    <w:p>
      <w:pPr>
        <w:shd w:fill="1F3864" w:val="clear"/>
        <w:spacing w:before="0" w:after="200"/>
        <w:jc w:val="center"/>
      </w:pPr>
      <w:r>
        <w:rPr>
          <w:b/>
          <w:bCs/>
          <w:color w:val="C9A84C"/>
          <w:sz w:val="56"/>
          <w:szCs w:val="56"/>
        </w:rPr>
        <w:t xml:space="preserve">ECM — EQUITY CAPITAL MARKETS</w:t>
      </w:r>
    </w:p>
    <w:p>
      <w:pPr>
        <w:shd w:fill="1F3864" w:val="clear"/>
        <w:spacing w:before="0" w:after="200"/>
        <w:jc w:val="center"/>
      </w:pPr>
      <w:r>
        <w:rPr>
          <w:color w:val="D6E4F7"/>
          <w:sz w:val="28"/>
          <w:szCs w:val="28"/>
        </w:rPr>
        <w:t xml:space="preserve">Investment Banking | Área de Capitais</w:t>
      </w:r>
    </w:p>
    <w:p>
      <w:pPr>
        <w:shd w:fill="1F3864" w:val="clear"/>
        <w:spacing w:before="0" w:after="1440"/>
        <w:jc w:val="center"/>
      </w:pPr>
      <w:r>
        <w:rPr>
          <w:color w:val="AAAAAA"/>
          <w:sz w:val="24"/>
          <w:szCs w:val="24"/>
        </w:rPr>
        <w:t xml:space="preserve">Formação Analista — Nível I e II</w:t>
      </w:r>
    </w:p>
    <w:p>
      <w:pPr>
        <w:spacing w:after="2880"/>
        <w:jc w:val="center"/>
      </w:pPr>
      <w:r>
        <w:rPr>
          <w:color w:val="888888"/>
          <w:sz w:val="18"/>
          <w:szCs w:val="18"/>
        </w:rPr>
        <w:t xml:space="preserve">Versão 1.0  |  </w:t>
      </w:r>
      <w:r>
        <w:rPr>
          <w:b/>
          <w:bCs/>
          <w:color w:val="C9A84C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ÍNDICE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1 — Introdução ao ECM: Papel, Mercado e Contexto Brasileiro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2 — Participantes de uma Operação ECM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3 — Tipos de Operação ECM — Taxonomia Completa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4 — Processo de uma Oferta — 8 Fases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5 — Análise de Equity: Valuation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6 — Precificação e Bookbuilding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7 — Due Diligence em Operações ECM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8 — Regulação e Compliance — Mercado Brasileiro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9 — Modelagem Financeira ECM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10 — Análise de Risco em Operações ECM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11 — Otimização de Estrutura e Capital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12 — Sinais de Alerta nas Demonstrações Financeiras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Seção 13 — Glossário ECM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1 — INTRODUÇÃO AO ECM: PAPEL, MERCADO E CONTEXTO BRASILEIRO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1.1 O que é ECM?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ECM (Equity Capital Markets) é a divisão de um banco de investimento responsável pela originação, estruturação e execução de operações que envolvem captação de recursos via emissão de instrumentos de equity (ações ou conversíveis). O ECM atua como interface entre empresas que precisam de capital e investidores que buscam exposição a equity.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Diferentemente do DCM (Debt Capital Markets), onde o instrumento de captação é dívida (debêntures, CRIs, bonds), no ECM o investidor passa a ter participação acionária na empresa, com direito a dividendos e valorização do capital.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1.2 Papel do Analista de ECM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de ECM no IB desempenha funções técnicas e operacionais críticas ao longo de todo o ciclo de vida de uma operação: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Construção e manutenção de modelos de valuation (DCF, múltiplos, DDM)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e interpretação de demonstrações financeiras históricas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Elaboração de pitchbooks, CIMs e materiais de apresentação a investidores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Coordenação com equipes jurídicas, contábeis e de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Acompanhamento do roadshow e processo de bookbuilding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Monitoramento de comparáveis de mercado e transações precedentes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Suporte ao pricing e alocação das ações na oferta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1.3 O Mercado de ECM no Brasil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mercado brasileiro de ECM é regulado pela CVM (Comissão de Valores Mobiliários) e operacionalizado na B3 (Brasil, Bolsa, Balcão). O ciclo de ofertas públicas segue padrões similares aos mercados internacionais, com adaptações às particularidades jurídicas e regulatórias locais.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400"/>
        <w:gridCol w:w="1460"/>
      </w:tblGrid>
      <w:tr>
        <w:tc>
          <w:tcPr>
            <w:tcW w:type="dxa" w:w="3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2024E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 total ECM (R$ bi)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R$97B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R$31B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R$28B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R$45B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Nº de IPOs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Nº de Follow-ons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 médio por oferta (R$ mi)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R$890M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R$994M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R$1.1B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R$1.2B</w:t>
            </w:r>
          </w:p>
        </w:tc>
      </w:tr>
    </w:tbl>
    <w:p>
      <w:pPr>
        <w:spacing w:before="80" w:after="80"/>
        <w:ind w:left="360"/>
      </w:pPr>
      <w:r>
        <w:rPr>
          <w:color w:val="000000"/>
          <w:sz w:val="20"/>
          <w:szCs w:val="20"/>
        </w:rPr>
        <w:t xml:space="preserve">Fontes: CVM, B3, Capital Aberto. *Dados 2024E estimados.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1.4 Dinâmica de Mercado: Janelas de Ofertas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mercado de ECM é altamente cíclico e dependente de condições macroeconômicas. Os principais vetores que determinam a abertura ou fechamento de janelas de mercado são: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Nível e tendência da taxa SELIC: juros elevados elevam o custo de oportunidade do equity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Volatilidade do Ibovespa: VIX local e internacional acima de 25 fecha janelas para novos emissores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Fluxo de capital estrangeiro (EMBI+ e CDS Brasil): spreads acima de 250bps sinalizam aversão a risco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Desempenho de IPOs recentes: precificação abaixo do meio da faixa sinaliza mercado técnico fraco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Resultados corporativos e guidance: revisões de earnings impactam diretamente o apetite dos investidores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2 — PARTICIPANTES DE UMA OPERAÇÃO ECM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2.1 Mapa Completo dos Agentes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Uma oferta pública de ações envolve uma constelação de agentes com papéis distintos e inter-relacionados. O analista de ECM deve compreender profundamente o papel de cada um, pois a coordenação entre eles determina o sucesso da operação.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 NA OPERAÇÃO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REMUNERAÇÃO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Coordenador Líder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Estrutura a operação, lidera o processo, interface com CVM e B3, coordena o bookbuilding e define o pricing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Underwriting fee (2-4%)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Coordenadores (co-leads)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Apoiam o processo de distribuição, trazem sua base de clientes institucionais ao bookbuilding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Parcela do underwriting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Bookrunners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Responsáveis pela coleta de ordens dos investidores e formação do livro de demanda (bookbuilding)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Incentive fee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Agente Estabilizador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Executa operações de compra/venda no mercado secundário após a oferta para estabilizar o preço (greenshoe)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Uso do greenshoe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Assessores Jurídicos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 diligence jurídica, elaboração do prospecto (Formulário de Referência), declarações e opinião legal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fixo por serviço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Auditores (Big Four)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Comfort letters, auditoria das DFs históricas, revisão limitada das DFs intermediárias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de auditoria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de 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Equity story, materiais de apresentação, coordenação do roadshow, preparação da administração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de advisory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Investidores Institucionais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Fundos locais (FIAs, FIMs), estrangeiros (hedge funds, long-only), family offices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 — são compradores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Investidores de Varejo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Pessoas físicas, clubes de investimento. Parcela da oferta destinada ao público em geral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Autoridade regulatória. Analisa e aprova o prospecto, monitora o processo, protege investidores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Taxa CVM (~0,05%)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Bolsa de valores. Cadastramento do emissor, negociação das ações, listing e compliance de governança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Taxa de listagem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3 — TIPOS DE OPERAÇÃO ECM — TAXONOMIA COMPLETA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3.1 IPO — Initial Public Offering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IPO é a primeira oferta pública de ações de uma empresa. Marca a transição de empresa de capital fechado para capital aberto, sujeita às obrigações de disclosure e governança do mercado regulado.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Oferta primária: a empresa emite novas ações e capta recursos para seu caixa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Oferta secundária: acionistas existentes vendem suas ações — recursos não entram na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Oferta mista: combinação de primária e secundária</w:t>
      </w:r>
    </w:p>
    <w:p>
      <w:pPr>
        <w:spacing w:before="60" w:after="60"/>
        <w:ind w:left="360"/>
      </w:pPr>
      <w:r>
        <w:rPr>
          <w:b/>
          <w:bCs/>
          <w:color w:val="1F3864"/>
          <w:sz w:val="19"/>
          <w:szCs w:val="19"/>
        </w:rPr>
        <w:t xml:space="preserve">Ponto Crítico: </w:t>
      </w:r>
      <w:r>
        <w:rPr>
          <w:i/>
          <w:iCs/>
          <w:color w:val="595959"/>
          <w:sz w:val="19"/>
          <w:szCs w:val="19"/>
        </w:rPr>
        <w:t xml:space="preserve">O analista deve entender o uso dos recursos (primária) versus o sinal de saída dos sócios (secundária). Uma oferta 100% secundária pode ser interpretada negativamente pelo mercado como falta de confiança dos controladores.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3.2 Follow-on (Oferta Subsequente)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Empresa já listada emite novas ações ou permite a venda de ações existentes por acionistas. Pode ser com ou sem prospecto simplificado (Instrução CVM 400 vs. 476/ICVM 160).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Oferta pública com esforços restritos (ICVM 476): distribuída a até 75 investidores profissionais; dispensada de registro na CVM; mais rápida (5-7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Oferta pública com ampla distribuição (ICVM 400/160): registro obrigatório; acesso a varejo; prazo mínimo 5 dias corridos após protocolo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3.3 Block Trade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Venda acelerada de bloco de ações de acionista controlador ou relevante, geralmente executada overnight ou em poucas horas, sem prospecto completo. Típico em saídas de fundos de PE/VC e desinvestimentos de conglomerados.</w:t>
      </w:r>
    </w:p>
    <w:p>
      <w:pPr>
        <w:spacing w:before="60" w:after="60"/>
        <w:ind w:left="360"/>
      </w:pPr>
      <w:r>
        <w:rPr>
          <w:b/>
          <w:bCs/>
          <w:color w:val="1F3864"/>
          <w:sz w:val="19"/>
          <w:szCs w:val="19"/>
        </w:rPr>
        <w:t xml:space="preserve">Mecânica: </w:t>
      </w:r>
      <w:r>
        <w:rPr>
          <w:i/>
          <w:iCs/>
          <w:color w:val="595959"/>
          <w:sz w:val="19"/>
          <w:szCs w:val="19"/>
        </w:rPr>
        <w:t xml:space="preserve">O banco garante a aquisição do bloco pelo preço de mercado com desconto de 3-5% e revende aos investidores. Risco de execução é do banco — daí o desconto exigido.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3.4 Greenshoe (Opção de Lote Suplementar)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Mecanismo de estabilização de preço pós-oferta. O coordenador recebe opção de comprar até 15% a mais de ações ao preço da oferta por 30 dias. Se o preço cair, o coordenador compra no mercado secundário e retorna as ações ao estabilizador. Se o preço subir, exerce a opção e distribui o lote adicional.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3.5 Debêntures Conversíveis e CRI/CRA com Participação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Instrumentos híbridos que começam como dívida e podem ser convertidos em equity sob determinadas condições. O analista de ECM deve dominar a modelagem da diluição implícita e o impacto no EPS.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3.6 Outros Instrumentos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68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BDR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Brazilian Depositary Receipt: certificado depositário de ações de empresa estrangeira negociado no Brasil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OPA (Oferta Pública de Aquisição)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Comprador oferta preço para adquirir ações de minoritários. Obrigatória em mudança de controle (tag-along) e fechamento de capital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Special Purpose Acquisition Company: empresa criada para adquirir outra empresa; captação antes de definir o alvo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Listing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lista suas ações sem emissão nova e sem underwriter; ações existentes passam a ser negociadas diretamente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Rights Issue (Subscrição)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emite novas ações e oferece aos acionistas existentes o direito de manter sua participação proporcional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4 — PROCESSO DE UMA OFERTA — 8 FASES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processo de uma oferta pública segue uma sequência padronizada, com prazos regulatórios e etapas críticas que o analista de ECM deve conhecer em detalhes.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500"/>
        <w:gridCol w:w="20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3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TAREFAS DO ANALISTA</w:t>
            </w:r>
          </w:p>
        </w:tc>
        <w:tc>
          <w:tcPr>
            <w:tcW w:type="dxa" w:w="2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 TÍPICO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Seleção do Banco e Mandato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Pitchbook de valuation, análise de janela de mercado, proposta de estrutura e fees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prazo fixo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Planejamento e Kick-off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Organograma de responsabilidades, due diligence checklist, cronograma detalhado, contratação de assessores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1-2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Análise financeira (3-5 anos históricos), legal, operacional, tributária; elaboração dos arquivos do data room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4-8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Redação do Prospecto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Formulário de Referência, fatores de risco, uso dos recursos, análise setorial, projeções (se permitidas)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4-6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Protocolo na CVM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Envio de documentos à CVM via GEDIP; respostas a exigências (ofícios); acompanhamento do processo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20-60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Pré-Marketing (Roadshow)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Elaboração de investor presentation, preparação dos executivos, agenda de reuniões 1x1 e grupos, modelo atualizado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1-2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Bookbuilding e Pricing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Consolidação das ordens, análise de demanda por faixa de preço, recomendação de pricing ao comitê de ECM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5-10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Pós-Oferta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Estabilização do preço (greenshoe), relatório de research inaugural (lockup 40 dias), acompanhamento de resultados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30-90 dias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4.1 Períodos de Silêncio e Lockup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deve estar atento aos períodos regulatórios que restringem comunicações e negociações: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Quiet period: período anterior ao protocolo na CVM sem comunicações sobre a oferta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Lockup dos acionistas vendedores: tipicamente 180 dias sem vender ações adicionais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Lockup dos analistas de research: 40 dias após o pricing para publicação do relatório inaugural</w:t>
      </w:r>
    </w:p>
    <w:p>
      <w:pPr>
        <w:spacing w:before="60" w:after="60"/>
        <w:ind w:left="360"/>
      </w:pPr>
      <w:r>
        <w:rPr>
          <w:b/>
          <w:bCs/>
          <w:color w:val="1F3864"/>
          <w:sz w:val="19"/>
          <w:szCs w:val="19"/>
        </w:rPr>
        <w:t xml:space="preserve">Atenção Regulatória: </w:t>
      </w:r>
      <w:r>
        <w:rPr>
          <w:i/>
          <w:iCs/>
          <w:color w:val="595959"/>
          <w:sz w:val="19"/>
          <w:szCs w:val="19"/>
        </w:rPr>
        <w:t xml:space="preserve">Violações ao quiet period podem resultar em suspensão do processo pela CVM. O analista deve ter atenção redobrada com comunicações públicas — incluindo LinkedIn, entrevistas e eventos setoriais.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5 — ANÁLISE DE EQUITY: VALUATION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5.1 Framework de Valuation para ECM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valuation em ECM tem objetivos distintos do valuation em M&amp;A: o foco é estabelecer uma faixa de preço que equilibre os interesses da empresa emissora (maximizar o preço) com os dos investidores (garantir upside pós-oferta e liquidez no secundário). Um IPO precificado na parte alta da faixa que cai no primeiro dia de negociação é considerado fracasso de execução.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5.2 DCF — Fluxo de Caixa Descontado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DCF é o método de valuation fundamental por excelência. Em ECM, é utilizado como âncora para o equity story e balizador da faixa de preço.</w:t>
      </w:r>
    </w:p>
    <w:p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 xml:space="preserve">5.2.1 Estrutura do Modelo DCF (ver Aba 6 do modelo Excel)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Projeção do FCFF (Free Cash Flow to Firm) para o período explícito (tipicamente 5 anos)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Cálculo do WACC via metodologia CAPM com ajuste de risco-país e Fisher equation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Estimativa do Valor Terminal via Gordon Growth Model e/ou Exit Multiple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Reconciliação EV → Equity Value: EV - Dívida Líquida = Equity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Preço por ação: Equity Value / ações diluídas</w:t>
      </w:r>
    </w:p>
    <w:p>
      <w:pPr>
        <w:spacing w:before="60" w:after="60"/>
        <w:ind w:left="360"/>
      </w:pPr>
      <w:r>
        <w:rPr>
          <w:b/>
          <w:bCs/>
          <w:color w:val="1F3864"/>
          <w:sz w:val="19"/>
          <w:szCs w:val="19"/>
        </w:rPr>
        <w:t xml:space="preserve">Fórmula WACC: </w:t>
      </w:r>
      <w:r>
        <w:rPr>
          <w:i/>
          <w:iCs/>
          <w:color w:val="595959"/>
          <w:sz w:val="19"/>
          <w:szCs w:val="19"/>
        </w:rPr>
        <w:t xml:space="preserve">WACC = Ke × [E/(D+E)] + Kd × (1-t) × [D/(D+E)]  |  Ke = Rf + βL × ERP  (com ajuste Fisher para BRL)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5.3 Análise de Múltiplos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A análise de múltiplos provê contexto de mercado e é frequentemente o método mais utilizado para definição do pricing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MÚLTIPLO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 USAR / LIMITAÇÕES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EV/EBITDA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Enterprise Value / EBITDA LTM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Mais utilizado em M&amp;A e ECM; neutro em relação à estrutura de capital; cuidado com D&amp;A atípico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P/L (P/E)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Preço por ação / LPA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Comum em varejo e financeiro; sensível à estrutura de capital; use NTM (Next Twelve Months)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EV/EBIT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Enterprise Value / EBIT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Melhor que EV/EBITDA para empresas capital-intensivo; inclui depreciação economicamente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P/VPA (P/BV)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Preço / Valor Patrimonial por 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Essencial para bancos e seguradoras; compare com ROE para avaliar se premium é justificado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EV/Receita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Enterprise Value / Receita Líquida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Útil para empresas em crescimento sem lucro; common em SaaS e tecnologia; cuidado com mix de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EV/FCFF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Enterprise Value / Free Cash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mais rigoroso; empresas com CAPEX atípico ou diferença material entre EBITDA e caixa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Yield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Dividendo por Ação / Preço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Utilities, real estate, empresas maduras com alto payout; compare com CDI/Selic como benchmark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PEG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P/E / Taxa de Crescimento LPA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Normaliza o P/E pelo crescimento; PEG &lt; 1 sugere undervaluation relativa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5.4 Football Field (Balizador de Valuation)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Football Field é a representação gráfica que consolida os resultados dos diferentes métodos de valuation em um único gráfico de barras horizontais. É o principal instrumento de comunicação de valuation em apresentações a clientes e ao comitê de pricing.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Cada linha representa um método (DCF, EV/EBITDA peers, P/E peers, transações precedentes)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 largura da barra representa a faixa de valor implícito pelo método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 faixa de oferta deve estar posicionada de forma conservadora, preferencialmente na metade inferior do Football Field</w:t>
      </w:r>
    </w:p>
    <w:p>
      <w:pPr>
        <w:spacing w:before="60" w:after="60"/>
        <w:ind w:left="360"/>
      </w:pPr>
      <w:r>
        <w:rPr>
          <w:b/>
          <w:bCs/>
          <w:color w:val="1F3864"/>
          <w:sz w:val="19"/>
          <w:szCs w:val="19"/>
        </w:rPr>
        <w:t xml:space="preserve">Boa Prática: </w:t>
      </w:r>
      <w:r>
        <w:rPr>
          <w:i/>
          <w:iCs/>
          <w:color w:val="595959"/>
          <w:sz w:val="19"/>
          <w:szCs w:val="19"/>
        </w:rPr>
        <w:t xml:space="preserve">Um Football Field bem construído inclui sensibilidades: DCF com range de WACC (±100bps) e g (±0,5pp), múltiplos com P25 e P75 do peer group, e transações com e sem prêmio de controle.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5.5 DDM — Dividend Discount Model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Aplicável a empresas com histórico estabelecido de distribuição de dividendos (utilities, financeiro, commodities maduras). O valor da ação é o valor presente de todos os dividendos futuros esperados.</w:t>
      </w:r>
    </w:p>
    <w:p>
      <w:pPr>
        <w:spacing w:before="60" w:after="60"/>
        <w:ind w:left="360"/>
      </w:pPr>
      <w:r>
        <w:rPr>
          <w:b/>
          <w:bCs/>
          <w:color w:val="1F3864"/>
          <w:sz w:val="19"/>
          <w:szCs w:val="19"/>
        </w:rPr>
        <w:t xml:space="preserve">Fórmula Gordon: </w:t>
      </w:r>
      <w:r>
        <w:rPr>
          <w:i/>
          <w:iCs/>
          <w:color w:val="595959"/>
          <w:sz w:val="19"/>
          <w:szCs w:val="19"/>
        </w:rPr>
        <w:t xml:space="preserve">P = D1 / (Ke - g)  onde D1 = próximo dividendo anual esperado, Ke = custo do equity, g = taxa de crescimento sustentável dos dividendos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6 — PRECIFICAÇÃO E BOOKBUILDING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6.1 Definição da Faixa de Preço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A faixa indicativa de preço é determinada pelo coordenador líder com base no Football Field de valuation e no feedback do pré-marketing com investidores âncora (anchor investors). A faixa típica representa desconto de 10-20% sobre o Equity Value justo para garantir upside pós-oferta.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Preço mínimo: ponto onde a empresa é desestruturalmente barata vs. peers; protege a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Preço máximo: ponto onde o retorno esperado ao investidor é zero ou insuficiente; limita o upside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Preço justo: midpoint da faixa; é o preço que o analista recomenda ao comitê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6.2 Mecânica do Bookbuilding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bookbuilding é o processo de coleta de ordens de compra dos investidores institucionais durante o período de oferta. O coordenador consolida as intenções de compra e analisa a demanda por faixa de preço.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ORDEM</w:t>
            </w:r>
          </w:p>
        </w:tc>
        <w:tc>
          <w:tcPr>
            <w:tcW w:type="dxa" w:w="68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Bid at Limit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Investidor especifica preço máximo e quantidade; ordem é alocada apenas se o preço da oferta for igual ou inferior ao limite declarado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Strike Bid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Investidor aceita qualquer preço dentro da faixa; demonstra convicção máxima; preferenciado na alocação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Step-up Bid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Investidor aumenta a quantidade conforme o preço cai (escalonado); permite mapear a elasticidade da demanda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6.3 Critérios de Alocação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de ECM deve entender que a alocação não é puramente mecânica — ela incorpora considerações estratégicas de longo prazo: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Qualidade do investidor: preferência por long-only com baixo turnover vs. momentum traders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Tipo de ordem: strike bids recebem prioridade sobre limit bids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Relação com o banco: investidores com relacionamento amplo (custódia, FX, derivativos) podem receber prioridade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Diversificação geográfica: equilíbrio entre investidores locais (estabilidade) e estrangeiros (liquidez)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Livre de encargos: observância das regras da CVM sobre proibição de cobranças indevidas na alocação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6.4 Sinais de Qualidade do Livro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é responsável por interpretar os sinais do livro de demanda para recomendar o pricing: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Cobertura 5x-10x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Demanda saudável; permite pricing acima do meio da faixa; livro cobre o risco de deterioração pós-pricing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Cobertura &gt; 15x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Pode sinalizar precificação conservativa demais; acender o IPO barato e deixar dinheiro na mesa para a 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Cobertura &lt; 3x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Livro fraco; considerar reduzir o tamanho da oferta, fechar na parte baixa da faixa ou adiar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% de strike bids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Investidores com alta convicção; sinaliza demanda genuína e suporte pós-oferta no mercado secundário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Concentração em 2-3 investidores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Risco de manipulação; se um grande investidor sair no dia seguinte, o preço colapsa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Alocação anchor &gt; 40%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Âncoras fortes garantem estabilidade mas limitam o free float e a liquidez no secundário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7 — DUE DILIGENCE EM OPERAÇÕES ECM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7.1 Tipos de Due Diligence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A due diligence em ECM é mais abrangente do que em operações de crédito, pois o investidor de equity carrega todos os riscos do negócio — não apenas o risco de crédito. O analista coordena e sintetiza os resultados da due diligence em uma seção de Fatores de Risco do prospecto.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7.2 Due Diligence Financeira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de 3-5 anos de demonstrações financeiras auditadas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Reconciliação GAAP vs. IFRS vs. métricas gerenciais (Adjusted EBITDA)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de qualidade dos lucros: FCO/LL, working capital changes, CAPEX normalizado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de transações com partes relacionadas: arm's length, disclosure adequado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Sensibilidade de resultados a premissas contábeis: depreciação, provisões, reconhecimento de receita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de dívida: covenants, vencimentos, moeda, taxa (fixa vs. flutuante), subordinação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7.3 Due Diligence de Negócios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Posicionamento competitivo: market share, barreiras de entrada, vantagens competitivas sustentáveis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do modelo de receita: recorrente vs. pontual, concentração de clientes, ticket médio e churn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operacional: capacidade instalada, eficiência produtiva, CAPEX de manutenção vs. crescimento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Gestão e governança: track record do management, incentivos de longo prazo, estrutura de conselho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Análise setorial: ciclo do setor, regulação, pressão de preços, commoditização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7.4 Due Diligence Legal e Regulatória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Estrutura societária: ações ON/PN, tag-along, poison pill, direitos especiais de controladores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Contingências: provisões versus riscos possíveis (trabalhistas, fiscais, ambientais, cíveis)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Propriedade intelectual: patentes, marcas, licenças tecnológicas — riscos de expiração ou litígio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Contratos relevantes: change of control, exclusividade, take-or-pay — impacto da mudança de controle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Compliance regulatório: LGPD, ANTT, ANVISA, BACEN — autorizações e licenças em vigor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CHECKLIST DE DD FINANCEIRA — ANALISTA DE ECM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DFs auditadas (3 anos) + notas explicativas completas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Relatório do auditor sem ressalvas (clean opinion)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Reconciliação EBITDA reportado vs. EBITDA ajustado (non-recurring items)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Análise de NCG: sazonalidade, variação histórica, comparação vs. peers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Dívida: tabela de amortizações, covenants, colateral, cross-default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Capex: histórico manutenção vs. crescimento, vida útil dos ativos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Contingências: avaliação de risco provável/possível com advogados externos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Partes relacionadas: todas as transações, preços, termos vs. mercado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] Projeções: premissas detalhadas, sensibilidades, histórico de acurácia do management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8 — REGULAÇÃO E COMPLIANCE — MERCADO BRASILEIRO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8.1 Marco Regulatório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NORMA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 PRÁTICO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ICVM 160/2022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Nova instrução de ofertas públicas — substitui ICVM 400 e 476. Moderniza o processo, incorpora tecnologia e acelera aprovações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Principal norma ECM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ICVM 480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emissores — Formulário de Referência (FR). Obrigações de disclosure periódico das companhias abertas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e disclosure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 6.404/1976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 das S.A.: direitos dos acionistas, tag-along, dividendo mínimo obrigatório (25%), debêntures, reorganizações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Direitos societários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Novo Mercado B3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máximo de governança: apenas ações ON, tag-along 100%, conselho mínimo de 5 membros, 20% independentes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Governance 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ICVM 358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 a divulgação de informações relevantes (fato relevante, comunicado ao mercado) e insider trading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Compliance e insider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Res. CVM 59/2021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 os serviços de distribuição: dever de suitability, conflito de interesses, segregação de atividades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Distribuição e alocação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8.2 Segmentos de Listagem da B3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A escolha do segmento de listagem impacta diretamente o pricing e o acesso de investidores institucionais exigentes de alta governança: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Novo Mercado: padrão máximo — apenas ações ordinárias (ON), free float mínimo de 25%, tag-along 100%, conselho mínimo com 20% de independentes. É o segmento preferido por gestores institucionais estrangeiros.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Nível 2: ações ON e PN com direitos especiais, tag-along 100% para ON e 100% para PN, arbitragem obrigatória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Nível 1: disclosure aprimorado, free float mínimo de 25%, reuniões públicas anuais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Básico (sem adesão): listagem padrão, apenas obrigações da Lei 6.404</w:t>
      </w:r>
    </w:p>
    <w:p>
      <w:pPr>
        <w:spacing w:before="60" w:after="60"/>
        <w:ind w:left="360"/>
      </w:pPr>
      <w:r>
        <w:rPr>
          <w:b/>
          <w:bCs/>
          <w:color w:val="1F3864"/>
          <w:sz w:val="19"/>
          <w:szCs w:val="19"/>
        </w:rPr>
        <w:t xml:space="preserve">Recomendação: </w:t>
      </w:r>
      <w:r>
        <w:rPr>
          <w:i/>
          <w:iCs/>
          <w:color w:val="595959"/>
          <w:sz w:val="19"/>
          <w:szCs w:val="19"/>
        </w:rPr>
        <w:t xml:space="preserve">Para um IPO institucional de qualidade, o Novo Mercado é o padrão esperado. Investidores estrangeiros e fundos de pensão domésticos frequentemente exigem Novo Mercado como critério de eligibilidade para investimento.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8.3 Períodos Críticos de Compliance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de ECM deve conhecer os períodos que restringem negociações e comunicações: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Quiet period (pre-IPO): proibição de comunicações públicas sobre a empresa antes do protocolo na CVM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Período de vedação de negociação: administradores não podem negociar ações 15 dias antes da divulgação de resultados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Lockup pós-IPO: controladores e administradores tipicamente bloqueados por 180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Lockup de research: analistas do banco coordenador não podem publicar relatório por 40 dias após o pricing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9 — MODELAGEM FINANCEIRA ECM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9.1 Estrutura do Modelo Excel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modelo de análise ECM é composto por 11 abas integradas, com fórmulas vinculadas entre si. O analista deve dominar a lógica de cada aba e ser capaz de atualizar o modelo com novos dados em tempo real durante uma operação.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28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 CAPA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Identificação do modelo, dados da empresa, versão e status da análise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Dados de identificação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PREMISSAS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Macro (CDI, IPCA, PIB, câmbio, Selic) e operacionais (crescimento, margens, CAPEX, NCG, IR, payout)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Todos os inputs — azul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DRE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P&amp;L histórico (2021-2024) e projetado (2025-2029) com todas as margens calculadas automaticamente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Receita histórica hardcoded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BALANÇO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 projetado, NCG, Capital Investido, ROIC, ROE, alavancagem. Ativos = Passivos + PL verificável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Posições históricas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FLUXO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FCO, FCFF, FCFE com métricas de qualidade (FCO/EBITDA, FCFF/EBITDA). Demonstra a geração real de caixa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Aquisições (se houver)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WACC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CAPM completo: Rf, ERP, beta, risco-Brasil, Fisher equation. Tabela de sensibilidade beta x ERP.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Rf, ERP, beta, CDS, inflações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DCF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FCFF descontado, Valor Terminal (Gordon Growth e Exit Multiple), EV bridge, Equity Value e preço/ação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g, mult. saída, nº 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MÚLTIPLOS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Peer group com 8 empresas, estatísticas (P25/mediana/P75), valuation implícito por múltiplo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Múltiplos dos peers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 OFERTA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Simulador da oferta: tamanho, greenshoe, fees, proceeds líquidos, diluição, free float, EV e P/E pós-oferta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Preço, nº ações, fees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 RETORNO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TSR, EPS, P/E, dividend yield, upside de capital, book value por ação, accretion/dilution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Preço-alvo, ações diluídas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 SENSIBILIDADE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Cenários (downside/base/otimista), tabela WACC x g para preço/ação, análise bidimensional de EV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Premissas dos cenários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9.2 Convenção de Cores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modelo segue o padrão internacional de investment banking: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Azul: inputs hardcoded — o usuário deve alterar esses valores para calibrar o modelo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Preto: fórmulas e cálculos automáticos — nunca sobrescrever manualmente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Verde: links para outras abas — referências cross-sheet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Cinza escuro: dados históricos — não alterar, apenas adicionar períodos novos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9.3 Atualização do Modelo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0"/>
          <w:szCs w:val="20"/>
        </w:rPr>
        <w:t xml:space="preserve">Atualizar as premissas macro na aba 1 (CDI, IPCA, câmbio)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0"/>
          <w:szCs w:val="20"/>
        </w:rPr>
        <w:t xml:space="preserve">Inserir os dados históricos mais recentes na DRE (aba 2) e Balanço (aba 3)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0"/>
          <w:szCs w:val="20"/>
        </w:rPr>
        <w:t xml:space="preserve">Revisar as premissas operacionais (crescimento, margens) com base nos últimos resultados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0"/>
          <w:szCs w:val="20"/>
        </w:rPr>
        <w:t xml:space="preserve">Atualizar o WACC (aba 5) com as taxas de mercado do dia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0"/>
          <w:szCs w:val="20"/>
        </w:rPr>
        <w:t xml:space="preserve">Revisar os múltiplos dos peers (aba 7) com cotações atuais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0"/>
          <w:szCs w:val="20"/>
        </w:rPr>
        <w:t xml:space="preserve">Ajustar as premissas da oferta (aba 8) conforme o mandato recebido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0"/>
          <w:szCs w:val="20"/>
        </w:rPr>
        <w:t xml:space="preserve">Rodar a sensibilidade (aba 10) para atualizar o Football Field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10 — ANÁLISE DE RISCO EM OPERAÇÕES ECM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10.1 Riscos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Fechamento de Janela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Deterioração repentina das condições de mercado (volatilidade, crise geopolítica)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Agilidade na execução; condição suspensiva no mandato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Demanda Insuficiente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Livro cobre menos de 3x; pricing no piso da faixa ou cancelamento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Âncoras pré-comprometidas; redução do tamanho da oferta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Pricing Inadequado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Caro demais: queda no primeiro dia. Barato demais: deixa dinheiro na mesa para a empresa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Football Field rigoroso; benchmarking em tempo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 Diligence Superficial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Riscos não revelados emergem pós-IPO; impacto reputacional e legal para o banco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 robusta; red herring review; comfort letters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Exigências da CVM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Ofícios exigindo ajustes no prospecto podem atrasar o processo e fechar a janela de mercado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Prospectos bem preparados; relação com CVM; pre-filing meeting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Conflito de Interesse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coordenador tem incentivo em maximizar o preço para ganhar mais fees — em detrimento dos investidores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Murais de informação (chinese walls); regulação CVM 59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10.2 Riscos de Valuation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de ECM deve estar atento a armadilhas frequentes na análise de valuation: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EBITDA Adjusted inflado: ajustes excessivos de one-time items que na prática são recorrentes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Crescimento de receita insustentável: projeções lineares sem considerar saturação de mercado ou entrada de competidores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WACC subdimensionado: uso de beta de empresa sem risco-Brasil ou com período de cálculo em ambiente de juros baixos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Terminal value dominante: TV acima de 80% do EV sinaliza modelo com pouca visibilidade do período explícito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Peers inadequados: comparação com empresas de perfil de risco, crescimento e geração de caixa muito diferente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Ignora diluição: não considerar o efeito de stock options, warrants e conversíveis na contagem de ações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11 — OTIMIZAÇÃO DE ESTRUTURA E CAPITAL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11.1 Timing da Oferta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timing é um dos determinantes mais críticos do sucesso de um IPO. O analista deve monitorar indicadores de janela de mercado: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Ibovespa em tendência de alta com volatilidade (VIX local) abaixo de 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IPOs recentes precificados acima do meio da faixa e com performance positiva no secundário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Fluxo de capital estrangeiro positivo para mercados emergentes (EMBI+ comprimindo)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Ciclo de resultados favorável ao setor da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Ausência de eleições, COPOM ou eventos de risco geopolítico nos 30 dias seguintes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11.2 Otimização da Estrutura da Oferta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A estrutura ótima da oferta equilibra os interesses da empresa, dos acionistas vendedores e do mercado: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CONSIDERAÇÕES PARA OTIMIZAÇÃO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Primária vs. Secundária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% primária sinaliza necessidade de capital; alta % secundária (&gt;70%) pode sinalizar saída dos controladores. O mercado prefere mix balanceado com uso claro dos recursos primários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Tamanho do Greenshoe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o máximo de 15% — beneficia a empresa (adicional de capital se preço subir) e o banco (estabilização se cair). Ausência de greenshoe é sinal negativo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Float Mínimo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Liquidez é um dos maiores prêmios no mercado de ações. Free float &lt; 25% reduz o índice de elegibilidade de gestores; acima de 35% é premium para institucionais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Lote de Varejo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10-15% do volume para varejo: cria acionistas de base diversificada, mas dilui a proporção de institucionais. Fundos long-only preferem menor proporção de varejo (menor turnover)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11.3 Eficiência Tributária para o Emissor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de ECM deve conhecer os aspectos tributários que impactam o retorno líquido ao acionista: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JCP (Juros sobre Capital Próprio): distribuição dedutível do IRPJ/CSLL — otimiza payout com benefício fiscal de ~34% sobre o valor distribuído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Isenção de IR para PF: dividendos pagos por pessoa jurídica a pessoa física são isentos de IR até reforma tributária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Ganho de capital em ações com liquidez: alíquota de 15% para vendas até R$20.000/mês ou operações normais na B3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12 — SINAIS DE ALERTA NAS DEMONSTRAÇÕES FINANCEIRAS PARA ECM</w:t>
      </w:r>
    </w:p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12.1 Red Flags — Empresa Não Está Pronta para o Mercado de Capitais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O analista de ECM deve identificar sinais que tornam uma empresa inadequada para oferta pública naquele momento. A presença de 2 ou mais red flags deve ser comunicada ao MD antes de avançar no processo.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RED FLAG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QUÊ É GRAVE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DFs sem auditoria Big Four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Credibilidade dos números questionável; investidores institucionais não aprovam; CVM pode rejeitar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FCO/LL &lt; 50% por 2 anos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Lucros não se convertem em caixa; EBITDA mascarado por accruals contábeis; risco de write-down futuro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Concentração &gt; 30% em 1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Risco de key-man sistêmico; perda do cliente pode destruir 30%+ da receita overnight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Dívida LP vencendo em &lt; 18 meses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pode estar usando IPO para resolver crise de liquidez — investidores perceberão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Litígios relevantes não provisionados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Contingências acima de 10% do PL sem provisão adequada são fator de risco material para o prospecto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Mudanças de política contábil recentes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Alterações de critério que melhoram artificialmente os números recentes são signal de earnings management</w:t>
            </w:r>
          </w:p>
        </w:tc>
      </w:tr>
    </w:tbl>
    <w:p>
      <w:pPr>
        <w:pStyle w:val="Heading2"/>
        <w:pBdr>
          <w:bottom w:val="single" w:color="C9A84C" w:sz="4"/>
        </w:pBdr>
        <w:spacing w:before="320" w:after="160"/>
      </w:pPr>
      <w:r>
        <w:rPr>
          <w:b/>
          <w:bCs/>
          <w:color w:val="1F3864"/>
          <w:sz w:val="24"/>
          <w:szCs w:val="24"/>
        </w:rPr>
        <w:t xml:space="preserve">12.2 Yellow Flags — Pontos de Atenção que Exigem Disclosure</w:t>
      </w:r>
    </w:p>
    <w:p>
      <w:pPr>
        <w:spacing w:before="80" w:after="80"/>
      </w:pPr>
      <w:r>
        <w:rPr>
          <w:color w:val="000000"/>
          <w:sz w:val="20"/>
          <w:szCs w:val="20"/>
        </w:rPr>
        <w:t xml:space="preserve">Yellow flags são riscos que devem ser explicitados nos Fatores de Risco do prospecto, com linguagem clara e específica: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Margem EBITDA abaixo da mediana do peer group por mais de 2 anos seguidos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Crescimento de receita acima do crescimento do setor sem explicação clara — risco de market share artificial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SG&amp;A como % da receita crescendo mais rápido que a receita — deseconomias de escala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CAPEX histórico materialmente abaixo da depreciação — subinvestimento no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NCG crescendo mais rápido que a receita — deterioração do ciclo operacional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Diferença material entre EBITDA reportado e EBITDA ajustado (&gt;15%)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Taxa efetiva de IR muito abaixo da alíquota nominal — sustentabilidade de benefícios fiscais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Working capital de curto prazo financiado por dívida de curto prazo — descasamento estrutural</w:t>
      </w:r>
    </w:p>
    <w:p>
      <w:r>
        <w:br w:type="page"/>
      </w:r>
    </w:p>
    <w:p>
      <w:pPr>
        <w:pStyle w:val="Heading1"/>
        <w:shd w:fill="1F3864" w:val="clear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SEÇÃO 13 — GLOSSÁRIO ECM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Bookbuilding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Processo de coleta de ordens de compra de investidores institucionais durante o período de oferta, com o objetivo de definir o preço e alocar as 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Comfort Letter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Carta emitida pelo auditor independente confirmando a consistência das informações financeiras do prospecto com as DFs auditadas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Drag-Along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Direito do controlador de obrigar os demais acionistas a vender suas ações nas mesmas condições em caso de venda da companhia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EBITDA Ajustado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EBITDA reportado com adições/exclusões de itens considerados não-recorrentes pelo management. Deve ser reconciliado linha a linha com o EBITDA GAAP/IFRS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 (Enterprise Value)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Cap + Dívida Líquida + Participação de Minoritários - Investimentos em Coligadas. Representa o valor total do negócio para todos os provedores de capital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FCFF (Free Cash Flow to Firm)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NOPAT + D&amp;A - CAPEX - ΔNCG. Caixa disponível para todos os provedores de capital (equity e dívida) após investimentos no negócio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Football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Gráfico que consolida as diferentes faixas de valuation (DCF, múltiplos, transações) em barras horizontais para comunicar a faixa de preço justo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Float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Parcela das ações em circulação no mercado, excluindo participações do controlador, conselho e acionistas com mais de 5% de participação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Greenshoe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Opção de lote suplementar: permite ao coordenador comprar até 15% adicionais das ações ao preço da oferta por 30 dias, para estabilização de preço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Investor Relations (RI)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Área responsável pela comunicação entre a empresa e o mercado de capitais: resultados, fatos relevantes, apresentações, day de 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Lockup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Período após a oferta durante o qual acionistas (180 dias) ou analistas de research (40 dias) estão impedidos de vender ações ou publicar relatórios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NTM (Next Twelve Months)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Estimativas de resultados para os próximos 12 meses, usadas como base para múltiplos forward (P/E NTM, EV/EBITDA NTM)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Documento legal registrado na CVM que descreve detalhadamente a empresa, os riscos, os dados financeiros e os termos da oferta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Roadshow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Série de apresentações dos executivos da empresa a investidores institucionais, geralmente em São Paulo, Rio, Nova York e Londres, durante o período de bookbuilding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Tag-Along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Direito dos acionistas minoritários de vender suas ações nas mesmas condições do controlador em caso de mudança de controle. Novo Mercado: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TSR (Total Shareholder Return)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Retorno total ao acionista: [(Preço Final - Preço Inicial + Dividendos) / Preço Inicial]. Métrica mais completa de retorno ao equity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WACC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Average Cost of Capital: custo médio ponderado de capital, combinando o custo do equity (CAPM) e o custo da dívida pós-tax, ponderados pelas participações na estrutura de capital</w:t>
            </w:r>
          </w:p>
        </w:tc>
      </w:tr>
    </w:tbl>
    <w:p>
      <w:pPr>
        <w:spacing w:before="400"/>
      </w:pPr>
    </w:p>
    <w:p>
      <w:pPr>
        <w:spacing w:before="240" w:after="240"/>
        <w:jc w:val="center"/>
      </w:pPr>
      <w:r>
        <w:rPr>
          <w:i/>
          <w:iCs/>
          <w:color w:val="888888"/>
          <w:sz w:val="18"/>
          <w:szCs w:val="18"/>
        </w:rPr>
        <w:t xml:space="preserve">— Fim do Manual de Treinamento ECM — Versão 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spacing w:before="100"/>
      <w:jc w:val="right"/>
    </w:pPr>
    <w:r>
      <w:rPr>
        <w:color w:val="888888"/>
        <w:sz w:val="16"/>
        <w:szCs w:val="16"/>
      </w:rPr>
      <w:t xml:space="preserve">Investment Banking | Área de ECM    |    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</w:pPr>
    <w:r>
      <w:rPr>
        <w:color w:val="888888"/>
        <w:sz w:val="16"/>
        <w:szCs w:val="16"/>
      </w:rPr>
      <w:t xml:space="preserve">MANUAL DE TREINAMENTO ECM — INVESTMENT BANKING</w:t>
    </w:r>
    <w:r>
      <w:rPr>
        <w:color w:val="AAAAAA"/>
        <w:sz w:val="16"/>
        <w:szCs w:val="16"/>
      </w:rPr>
      <w:t xml:space="preserve">    |    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before="40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2026-03-21T15:35:33.664Z</dcterms:created>
  <dcterms:modified xsi:type="dcterms:W3CDTF">2026-03-21T15:35:33.665Z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