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Martins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Danilo Francisco Pires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Pós Tech - 4DTAT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18"/>
          <w:szCs w:val="18"/>
        </w:rPr>
      </w:pPr>
      <w:bookmarkStart w:colFirst="0" w:colLast="0" w:name="_onnkl61vq5o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3gj0ulbov4l2" w:id="1"/>
      <w:bookmarkEnd w:id="1"/>
      <w:r w:rsidDel="00000000" w:rsidR="00000000" w:rsidRPr="00000000">
        <w:rPr>
          <w:rtl w:val="0"/>
        </w:rPr>
        <w:t xml:space="preserve">Caracterização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de no máximo 20 questionamentos realizados na pesquisa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3 meses para construção da solução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Caracterização dos sintomas clínicos da população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Comportamento da população na época da COVID-19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econômicas da Sociedade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Seu objetivo será trazer uma breve análise dessas informações, como foi a organização do banco, as perguntas selecionadas para a resposta do problema e quais seriam as principais ações que o hospital deverá tomar em caso de um novo surto de COVID-19.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Organização da base: </w:t>
      </w:r>
      <w:r w:rsidDel="00000000" w:rsidR="00000000" w:rsidRPr="00000000">
        <w:rPr>
          <w:rtl w:val="0"/>
        </w:rPr>
        <w:t xml:space="preserve">os dados selecionados são dos meses de maio a julho de 2020 e o critério para seleção das variáveis passou por diversas categorias dentre as perguntas disponíveis. Nesse caso, buscamos selecionar variáveis que explicassem o comportamento da população nos aspectos educacionais, profissionais, de renda e de saúde (obs: a coluna “</w:t>
      </w:r>
      <w:r w:rsidDel="00000000" w:rsidR="00000000" w:rsidRPr="00000000">
        <w:rPr>
          <w:rtl w:val="0"/>
        </w:rPr>
        <w:t xml:space="preserve">horas semanais” foi descartada pois não apresentava valores válidos).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325"/>
        <w:gridCol w:w="1500"/>
        <w:tblGridChange w:id="0">
          <w:tblGrid>
            <w:gridCol w:w="1500"/>
            <w:gridCol w:w="532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sigla_uf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raça ou cor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v1022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situação domicilio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escolaridade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frequenta escola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a006b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aulas presenciais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c007d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atividade da empresa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profissão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 semanais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profissão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office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profissão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c01011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faixa rendimento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c01012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em dinheiro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sintoma - febre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sintoma - tosse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sintoma - fadiga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procurou estabelecimento de saúde por conta de sintoma?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b009b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exame cotonete na boca ou nariz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b009d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exame coleta sangue furo no dedo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b009f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exame sangue da veia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internação &gt;= 1 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medidas de isolamento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saúde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Arquitetura: </w:t>
      </w:r>
      <w:r w:rsidDel="00000000" w:rsidR="00000000" w:rsidRPr="00000000">
        <w:rPr>
          <w:rtl w:val="0"/>
        </w:rPr>
        <w:t xml:space="preserve">os dados foram pré tratados no Google Big Query consumindo do banco de dados</w:t>
      </w:r>
      <w:r w:rsidDel="00000000" w:rsidR="00000000" w:rsidRPr="00000000">
        <w:rPr>
          <w:b w:val="1"/>
          <w:rtl w:val="0"/>
        </w:rPr>
        <w:t xml:space="preserve"> pnad covid</w:t>
      </w:r>
      <w:r w:rsidDel="00000000" w:rsidR="00000000" w:rsidRPr="00000000">
        <w:rPr>
          <w:rtl w:val="0"/>
        </w:rPr>
        <w:t xml:space="preserve"> e o resultado foi exportado para o Google Colab.</w:t>
      </w:r>
    </w:p>
    <w:p w:rsidR="00000000" w:rsidDel="00000000" w:rsidP="00000000" w:rsidRDefault="00000000" w:rsidRPr="00000000" w14:paraId="0000005B">
      <w:pPr>
        <w:pStyle w:val="Title"/>
        <w:rPr/>
      </w:pPr>
      <w:bookmarkStart w:colFirst="0" w:colLast="0" w:name="_dy7daqlks3c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twi90y9th29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/>
      </w:pPr>
      <w:bookmarkStart w:colFirst="0" w:colLast="0" w:name="_ayv16s758fq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rPr/>
      </w:pPr>
      <w:bookmarkStart w:colFirst="0" w:colLast="0" w:name="_255cignw3hu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/>
      </w:pPr>
      <w:bookmarkStart w:colFirst="0" w:colLast="0" w:name="_4hj4pltbfgc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tomzjdazdkn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rPr/>
      </w:pPr>
      <w:bookmarkStart w:colFirst="0" w:colLast="0" w:name="_23uxsf484e8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rPr/>
      </w:pPr>
      <w:bookmarkStart w:colFirst="0" w:colLast="0" w:name="_j764ch6g45l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rPr/>
      </w:pPr>
      <w:bookmarkStart w:colFirst="0" w:colLast="0" w:name="_58dzmjwhi3x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l97c5ozffau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/>
      </w:pPr>
      <w:bookmarkStart w:colFirst="0" w:colLast="0" w:name="_j60a2enzix6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rPr/>
      </w:pPr>
      <w:bookmarkStart w:colFirst="0" w:colLast="0" w:name="_9zdvnfm94xa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/>
      </w:pPr>
      <w:bookmarkStart w:colFirst="0" w:colLast="0" w:name="_gjaeazl8y4j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Title"/>
        <w:rPr/>
      </w:pPr>
      <w:bookmarkStart w:colFirst="0" w:colLast="0" w:name="_ktj3zhr5w7o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rPr/>
      </w:pPr>
      <w:bookmarkStart w:colFirst="0" w:colLast="0" w:name="_47kf3j19cdfa" w:id="16"/>
      <w:bookmarkEnd w:id="16"/>
      <w:r w:rsidDel="00000000" w:rsidR="00000000" w:rsidRPr="00000000">
        <w:rPr>
          <w:rtl w:val="0"/>
        </w:rPr>
        <w:t xml:space="preserve">Análise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A base contém 52.144 linhas com os resultados dos respondentes. Nesse recorte, </w:t>
      </w:r>
      <w:r w:rsidDel="00000000" w:rsidR="00000000" w:rsidRPr="00000000">
        <w:rPr>
          <w:b w:val="1"/>
          <w:rtl w:val="0"/>
        </w:rPr>
        <w:t xml:space="preserve">51,9%</w:t>
      </w:r>
      <w:r w:rsidDel="00000000" w:rsidR="00000000" w:rsidRPr="00000000">
        <w:rPr>
          <w:rtl w:val="0"/>
        </w:rPr>
        <w:t xml:space="preserve"> dos respondentes foram homens e </w:t>
      </w:r>
      <w:r w:rsidDel="00000000" w:rsidR="00000000" w:rsidRPr="00000000">
        <w:rPr>
          <w:b w:val="1"/>
          <w:rtl w:val="0"/>
        </w:rPr>
        <w:t xml:space="preserve">48,1%</w:t>
      </w:r>
      <w:r w:rsidDel="00000000" w:rsidR="00000000" w:rsidRPr="00000000">
        <w:rPr>
          <w:rtl w:val="0"/>
        </w:rPr>
        <w:t xml:space="preserve"> foram mulheres, mostrando equilíbrio entre os entrevistados. Os respondentes são, predominantemente, das regiões sudeste e sul do país e vivem, em grande maioria, nas regiões urbanas.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914400</wp:posOffset>
            </wp:positionV>
            <wp:extent cx="2709863" cy="2531470"/>
            <wp:effectExtent b="0" l="0" r="0" t="0"/>
            <wp:wrapSquare wrapText="bothSides" distB="114300" distT="114300" distL="114300" distR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531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914400</wp:posOffset>
            </wp:positionV>
            <wp:extent cx="3481062" cy="2733908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062" cy="2733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xdvha06jb0s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45mq28f215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rjp6i67okgyu" w:id="19"/>
      <w:bookmarkEnd w:id="19"/>
      <w:r w:rsidDel="00000000" w:rsidR="00000000" w:rsidRPr="00000000">
        <w:rPr>
          <w:rtl w:val="0"/>
        </w:rPr>
        <w:t xml:space="preserve">Distribuição da escolaridade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3643313</wp:posOffset>
            </wp:positionH>
            <wp:positionV relativeFrom="paragraph">
              <wp:posOffset>466725</wp:posOffset>
            </wp:positionV>
            <wp:extent cx="2397450" cy="1968433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450" cy="1968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Quando voltamos a análise para um olhar de escolaridade, nota-se que a maioria dos respondentes (37,8%) possuem ensino </w:t>
      </w:r>
      <w:r w:rsidDel="00000000" w:rsidR="00000000" w:rsidRPr="00000000">
        <w:rPr>
          <w:b w:val="1"/>
          <w:rtl w:val="0"/>
        </w:rPr>
        <w:t xml:space="preserve">superior completo</w:t>
      </w:r>
      <w:r w:rsidDel="00000000" w:rsidR="00000000" w:rsidRPr="00000000">
        <w:rPr>
          <w:rtl w:val="0"/>
        </w:rPr>
        <w:t xml:space="preserve">, seguido por </w:t>
      </w:r>
      <w:r w:rsidDel="00000000" w:rsidR="00000000" w:rsidRPr="00000000">
        <w:rPr>
          <w:b w:val="1"/>
          <w:rtl w:val="0"/>
        </w:rPr>
        <w:t xml:space="preserve">Pós-graduação, mestrado ou doutorado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Médio completo </w:t>
      </w:r>
      <w:r w:rsidDel="00000000" w:rsidR="00000000" w:rsidRPr="00000000">
        <w:rPr>
          <w:rtl w:val="0"/>
        </w:rPr>
        <w:t xml:space="preserve">(ambos com 18,5%). Os </w:t>
      </w:r>
      <w:r w:rsidDel="00000000" w:rsidR="00000000" w:rsidRPr="00000000">
        <w:rPr>
          <w:b w:val="1"/>
          <w:rtl w:val="0"/>
        </w:rPr>
        <w:t xml:space="preserve">não instruídos</w:t>
      </w:r>
      <w:r w:rsidDel="00000000" w:rsidR="00000000" w:rsidRPr="00000000">
        <w:rPr>
          <w:rtl w:val="0"/>
        </w:rPr>
        <w:t xml:space="preserve"> representam 0,7% da base de dados. 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A pandemia de COVID-19 potencializou as desigualdades, com estudantes de baixa renda sofrendo mais devido à falta de acesso à tecnologia. O desempenho acadêmico caiu, em diversas disciplinas, e muitos alunos abandonaram a escola. O ensino remoto se expandiu, mas nem sempre manteve a qualidade, e cursos práticos foram amplamente afetados. O impacto pode ser duradouro, especialmente na ampliação da desigualdade de oportunidades no futuro do mercado de trabalho.</w:t>
      </w:r>
    </w:p>
    <w:p w:rsidR="00000000" w:rsidDel="00000000" w:rsidP="00000000" w:rsidRDefault="00000000" w:rsidRPr="00000000" w14:paraId="00000084">
      <w:pPr>
        <w:pStyle w:val="Subtitle"/>
        <w:spacing w:after="240" w:before="240" w:lineRule="auto"/>
        <w:jc w:val="both"/>
        <w:rPr/>
      </w:pPr>
      <w:bookmarkStart w:colFirst="0" w:colLast="0" w:name="_hyfn50hvch3r" w:id="20"/>
      <w:bookmarkEnd w:id="20"/>
      <w:r w:rsidDel="00000000" w:rsidR="00000000" w:rsidRPr="00000000">
        <w:rPr>
          <w:rtl w:val="0"/>
        </w:rPr>
        <w:t xml:space="preserve">Renda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análise de </w:t>
      </w:r>
      <w:r w:rsidDel="00000000" w:rsidR="00000000" w:rsidRPr="00000000">
        <w:rPr>
          <w:b w:val="1"/>
          <w:rtl w:val="0"/>
        </w:rPr>
        <w:t xml:space="preserve">renda média por grau de escolaridade</w:t>
      </w:r>
      <w:r w:rsidDel="00000000" w:rsidR="00000000" w:rsidRPr="00000000">
        <w:rPr>
          <w:rtl w:val="0"/>
        </w:rPr>
        <w:t xml:space="preserve"> mostra maior concentração  de renda em níveis mais elevados (pós-graduação, mestrado ou doutorado) e menor em níveis como "sem instrução". Ao voltar o olhar para o impacto da pandemia na educação e analisarmos com a renda média por grau de escolaridade, podemos considerar o seguinte: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647700</wp:posOffset>
            </wp:positionV>
            <wp:extent cx="3280648" cy="3934825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0648" cy="393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Desigualdade destacada</w:t>
      </w:r>
      <w:r w:rsidDel="00000000" w:rsidR="00000000" w:rsidRPr="00000000">
        <w:rPr>
          <w:rtl w:val="0"/>
        </w:rPr>
        <w:t xml:space="preserve">: Pessoas com maior escolaridade provavelmente sofreram menos impactos financeiros durante a pandemia, já que muitas puderam trabalhar remotamente em setores menos afetados. Isso está alinhado com a expectativa de que esses grupos têm maior renda média.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Trabalhadores com menos escolaridade</w:t>
      </w:r>
      <w:r w:rsidDel="00000000" w:rsidR="00000000" w:rsidRPr="00000000">
        <w:rPr>
          <w:rtl w:val="0"/>
        </w:rPr>
        <w:t xml:space="preserve">: Aqueles em níveis de escolaridade mais baixos (como "sem instrução" ou "fundamental incompleto") geralmente ocupam trabalhos que não permitem o home office e que foram mais afetados pelas medidas de isolamento. Com isso, a perda de renda ou emprego foi mais severa para esse grupo. 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resultado pode indicar uma maior resiliência financeira para pessoas com escolaridade mais alta durante a pandemia, enquanto grupos de escolaridade mais baixa enfrentaram desafios econômicos mais acentuados. Isso reforça a desigualdade no impacto da crise.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857250</wp:posOffset>
            </wp:positionV>
            <wp:extent cx="5731200" cy="330200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Desigualdade regional</w:t>
      </w:r>
      <w:r w:rsidDel="00000000" w:rsidR="00000000" w:rsidRPr="00000000">
        <w:rPr>
          <w:rtl w:val="0"/>
        </w:rPr>
        <w:t xml:space="preserve">: O Distrito Federal (DF) tem uma renda média significativamente mais alta em comparação com outros estados, o que pode ser explicado pela concentração de órgãos governamentais e empregos públicos na capital. Estados como Rio de Janeiro (RJ), São Paulo (SP) e Paraná (PR) também apresentam rendas mais elevadas, em parte devido à maior industrialização e nível de urbanização.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Disparidade Norte-Nordeste vs. Centro-Sul</w:t>
      </w:r>
      <w:r w:rsidDel="00000000" w:rsidR="00000000" w:rsidRPr="00000000">
        <w:rPr>
          <w:rtl w:val="0"/>
        </w:rPr>
        <w:t xml:space="preserve">: Observa-se uma clara tendência de que estados das regiões Norte e Nordeste possuem as menores rendas médias. Isso reflete em resultados históricos no desenvolvimento econômico e no acesso a oportunidades.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Impacto das atividades econômicas</w:t>
      </w:r>
      <w:r w:rsidDel="00000000" w:rsidR="00000000" w:rsidRPr="00000000">
        <w:rPr>
          <w:rtl w:val="0"/>
        </w:rPr>
        <w:t xml:space="preserve">: Estados com economias mais diversificadas e setores industriais mais avançados (como SP e RJ) tendem a ter uma renda média maior. Já estados dependentes de atividades agropecuárias ou de setores menos lucrativos apresentam uma renda média mais baixa.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Concentração de riqueza</w:t>
      </w:r>
      <w:r w:rsidDel="00000000" w:rsidR="00000000" w:rsidRPr="00000000">
        <w:rPr>
          <w:rtl w:val="0"/>
        </w:rPr>
        <w:t xml:space="preserve">: A análise reforça a concentração de renda em regiões mais desenvolvidas do país, enquanto estados menos desenvolvidos continuam com dificuldades econômicas, perpetuando as desigualdades regionais.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spacing w:after="240" w:before="240" w:lineRule="auto"/>
        <w:jc w:val="both"/>
        <w:rPr/>
      </w:pPr>
      <w:bookmarkStart w:colFirst="0" w:colLast="0" w:name="_rawm0gxjhv2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Subtitle"/>
        <w:spacing w:after="240" w:before="240" w:lineRule="auto"/>
        <w:jc w:val="both"/>
        <w:rPr/>
      </w:pPr>
      <w:bookmarkStart w:colFirst="0" w:colLast="0" w:name="_qpngml65n5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Subtitle"/>
        <w:spacing w:after="240" w:before="240" w:lineRule="auto"/>
        <w:jc w:val="both"/>
        <w:rPr/>
      </w:pPr>
      <w:bookmarkStart w:colFirst="0" w:colLast="0" w:name="_pei2bie04h5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spacing w:after="240" w:before="240" w:lineRule="auto"/>
        <w:jc w:val="both"/>
        <w:rPr/>
      </w:pPr>
      <w:bookmarkStart w:colFirst="0" w:colLast="0" w:name="_ykw0rjud6u6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Subtitle"/>
        <w:spacing w:after="240" w:before="240" w:lineRule="auto"/>
        <w:jc w:val="both"/>
        <w:rPr/>
      </w:pPr>
      <w:bookmarkStart w:colFirst="0" w:colLast="0" w:name="_ytu58gbsrjf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spacing w:after="240" w:before="240" w:lineRule="auto"/>
        <w:jc w:val="both"/>
        <w:rPr/>
      </w:pPr>
      <w:bookmarkStart w:colFirst="0" w:colLast="0" w:name="_e25lx5jw53bh" w:id="26"/>
      <w:bookmarkEnd w:id="26"/>
      <w:r w:rsidDel="00000000" w:rsidR="00000000" w:rsidRPr="00000000">
        <w:rPr>
          <w:rtl w:val="0"/>
        </w:rPr>
        <w:t xml:space="preserve">Atividade profissional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385265</wp:posOffset>
            </wp:positionV>
            <wp:extent cx="3749958" cy="3882935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958" cy="3882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Educação</w:t>
      </w:r>
      <w:r w:rsidDel="00000000" w:rsidR="00000000" w:rsidRPr="00000000">
        <w:rPr>
          <w:rtl w:val="0"/>
        </w:rPr>
        <w:t xml:space="preserve"> tem uma grande proporção, o que indica uma preocupação maior com o impacto da pandemia nesse setor. Isso também reflete a grande quantidade de pessoas que foram impactadas diretamente, especialmente pela adoção do ensino remoto.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Administração Pública</w:t>
      </w:r>
      <w:r w:rsidDel="00000000" w:rsidR="00000000" w:rsidRPr="00000000">
        <w:rPr>
          <w:rtl w:val="0"/>
        </w:rPr>
        <w:t xml:space="preserve"> e setores profissionais como </w:t>
      </w:r>
      <w:r w:rsidDel="00000000" w:rsidR="00000000" w:rsidRPr="00000000">
        <w:rPr>
          <w:b w:val="1"/>
          <w:rtl w:val="0"/>
        </w:rPr>
        <w:t xml:space="preserve">advocacia, engenharia, publicidade e veterinária</w:t>
      </w:r>
      <w:r w:rsidDel="00000000" w:rsidR="00000000" w:rsidRPr="00000000">
        <w:rPr>
          <w:rtl w:val="0"/>
        </w:rPr>
        <w:t xml:space="preserve"> também têm alta representatividade, o que pode refletir a maior facilidade desses profissionais de trabalhar remotamente, ou a dificuldade de continuar atividades essenciais durante a pandemia.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Setores de menor contagem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b w:val="1"/>
          <w:rtl w:val="0"/>
        </w:rPr>
        <w:t xml:space="preserve">Hospedagem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Armazenamento</w:t>
      </w:r>
      <w:r w:rsidDel="00000000" w:rsidR="00000000" w:rsidRPr="00000000">
        <w:rPr>
          <w:rtl w:val="0"/>
        </w:rPr>
        <w:t xml:space="preserve">, provavelmente representam aqueles mais afetados por restrições operacionais severas, ou simplesmente por uma menor proporção de trabalhadores disponíveis para a pesquisa.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Serviços essenciais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saúde, alimentação, transportes e segurança</w:t>
      </w:r>
      <w:r w:rsidDel="00000000" w:rsidR="00000000" w:rsidRPr="00000000">
        <w:rPr>
          <w:rtl w:val="0"/>
        </w:rPr>
        <w:t xml:space="preserve"> também têm uma amostra considerável, destacando sua importância durante a crise de saúde pública.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Durante a pandemia, o trabalho home office cresceu rapidamente em setores que podiam operar a distância, como tecnologia e educação. Porém, áreas como construção, transporte e serviços enfrentaram dificuldades para adotar esse modelo, mantendo maior parte de suas atividades presenciais, o que aumentou o risco de exposição ao vírus.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1009650</wp:posOffset>
            </wp:positionV>
            <wp:extent cx="7410450" cy="2646059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646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pandemia deu luz a uma divisão entre os setores que conseguiram adotar o home office e aqueles que, pelo perfil de suas atividades, não tiveram essa opção. As áreas que exigem trabalho manual ou presencial, como agricultura, transporte e serviços pessoais, ficaram mais expostas ao vírus e às dificuldades econômicas, enquanto setores mais qualificados, como os de educação, finanças e advocacia, conseguiram se adaptar melhor ao contexto da pandemia com o uso de tecnologias digitais e o trabalho remoto.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1276350</wp:posOffset>
            </wp:positionV>
            <wp:extent cx="7286625" cy="2753725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275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Os dados de renda média por área de atuação mostram que a capacidade de adaptação ao home office foi muito importante durante a pandemia. Setores que dependem de presencial e aqueles com maior flexibilidade para trabalho remoto não tiveram grandes variações na remuneração. A pandemia manteve as desigualdades existentes entre setores bem remunerados e aqueles com rendas mais baixas, com impactos discretos na capacidade de adaptação ao novo comportamento.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Disparidade salarial significativa</w:t>
      </w:r>
      <w:r w:rsidDel="00000000" w:rsidR="00000000" w:rsidRPr="00000000">
        <w:rPr>
          <w:rtl w:val="0"/>
        </w:rPr>
        <w:t xml:space="preserve">: A maior renda média está associada à extração de petróleo, carvão mineral e minerais metálicos, com valores mais elevados do que outras áreas. Esse setor, especializado e de risco, justifica a maior salário, mas também tem menor número de trabalhadores, o que contribui para essa média mais alta.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Setores de menor renda</w:t>
      </w:r>
      <w:r w:rsidDel="00000000" w:rsidR="00000000" w:rsidRPr="00000000">
        <w:rPr>
          <w:rtl w:val="0"/>
        </w:rPr>
        <w:t xml:space="preserve">: Cabeleireiros, agricultura, construção e serviços de alimentação são as áreas com menor renda média. Esses setores foram impactados durante a pandemia, principalmente por exigirem trabalho presencial e estarem associados a atividades que enfrentaram restrições ou diminuição na demanda.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Setores intermediários</w:t>
      </w:r>
      <w:r w:rsidDel="00000000" w:rsidR="00000000" w:rsidRPr="00000000">
        <w:rPr>
          <w:rtl w:val="0"/>
        </w:rPr>
        <w:t xml:space="preserve">: Setores como educação, saúde, segurança e atividades imobiliárias têm uma renda média intermediária, indicando uma compensação moderada pelo tipo de trabalho. Essas áreas também sofreram diferentes graus de impacto durante a pandemia, especialmente na educação, que precisou se adaptar ao ensino remoto.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-858674</wp:posOffset>
            </wp:positionH>
            <wp:positionV relativeFrom="paragraph">
              <wp:posOffset>114300</wp:posOffset>
            </wp:positionV>
            <wp:extent cx="7450542" cy="611252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0542" cy="611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Setores de maior rendimento</w:t>
      </w:r>
      <w:r w:rsidDel="00000000" w:rsidR="00000000" w:rsidRPr="00000000">
        <w:rPr>
          <w:rtl w:val="0"/>
        </w:rPr>
        <w:t xml:space="preserve">: Além da extração de petróleo, bancos, advocacia, engenharia, publicidade e administração pública são as áreas com maior renda média. Esses setores, principalmente bancos e advocacia, têm uma alta demanda por qualificação e conseguiram manter grande parte de suas operações remotamente durante a pandemia, protegendo seus profissionais tanto da exposição ao vírus quanto da perda de renda.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twffyqgb1q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Impactos da pandemia: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Exposição ao vírus e a renda</w:t>
      </w:r>
      <w:r w:rsidDel="00000000" w:rsidR="00000000" w:rsidRPr="00000000">
        <w:rPr>
          <w:rtl w:val="0"/>
        </w:rPr>
        <w:t xml:space="preserve">: Áreas de menor renda, como agricultura e serviços de alimentação, têm pouca flexibilidade para home office, aumentando a exposição ao vírus. Já áreas como bancos e advocacia, que oferecem rendas mais altas, migraram para o trabalho remoto, mantendo segurança financeira e proteção à saúde.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Desigualdade de recuperação</w:t>
      </w:r>
      <w:r w:rsidDel="00000000" w:rsidR="00000000" w:rsidRPr="00000000">
        <w:rPr>
          <w:rtl w:val="0"/>
        </w:rPr>
        <w:t xml:space="preserve">: Os setores com maior flexibilidade para trabalho remoto e maior renda média não apenas enfrentaram menos impacto, mas também se recuperaram mais rapidamente. Enquanto isso, setores de baixa renda, expostos e sem a possibilidade de transição digital, enfrentaram dificuldades maiores tanto em termos econômicos quanto de saúde pública.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Subtitle"/>
        <w:spacing w:after="240" w:before="240" w:lineRule="auto"/>
        <w:jc w:val="both"/>
        <w:rPr/>
      </w:pPr>
      <w:bookmarkStart w:colFirst="0" w:colLast="0" w:name="_i7mlb4oq5nk4" w:id="28"/>
      <w:bookmarkEnd w:id="28"/>
      <w:r w:rsidDel="00000000" w:rsidR="00000000" w:rsidRPr="00000000">
        <w:rPr>
          <w:rtl w:val="0"/>
        </w:rPr>
        <w:t xml:space="preserve">Comportamento e saúde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Os primeiros meses após a chegada do vírus ao Brasil foram cercados de muitas incertezas, desinformação e falta de senso de urgência para uma doença que já era tratada com sua devida importância em diversos países do mundo. Pessoas influentes e pessoas com cargos importantes à frente do país demonstravam pouca ou nenhuma preocupação com os impactos de certas posturas e suas consequências em relação à disseminação do vírus. 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Influenciados ou não por esse cenário, os respondentes da pesquisa adotaram um comportamento de média e baixa exposição onde apenas 1,6% (281) das pessoas responderam que </w:t>
      </w:r>
      <w:r w:rsidDel="00000000" w:rsidR="00000000" w:rsidRPr="00000000">
        <w:rPr>
          <w:b w:val="1"/>
          <w:rtl w:val="0"/>
        </w:rPr>
        <w:t xml:space="preserve">não fizeram nenhum tipo de restrição, levando a vida normalmente</w:t>
      </w:r>
      <w:r w:rsidDel="00000000" w:rsidR="00000000" w:rsidRPr="00000000">
        <w:rPr>
          <w:rtl w:val="0"/>
        </w:rPr>
        <w:t xml:space="preserve">, enquanto 51,1% (8.797) </w:t>
      </w:r>
      <w:r w:rsidDel="00000000" w:rsidR="00000000" w:rsidRPr="00000000">
        <w:rPr>
          <w:b w:val="1"/>
          <w:rtl w:val="0"/>
        </w:rPr>
        <w:t xml:space="preserve">ficaram em casa e só saíram em caso de necessidade básica</w:t>
      </w:r>
      <w:r w:rsidDel="00000000" w:rsidR="00000000" w:rsidRPr="00000000">
        <w:rPr>
          <w:rtl w:val="0"/>
        </w:rPr>
        <w:t xml:space="preserve">, 37,6% (6.483) </w:t>
      </w:r>
      <w:r w:rsidDel="00000000" w:rsidR="00000000" w:rsidRPr="00000000">
        <w:rPr>
          <w:b w:val="1"/>
          <w:rtl w:val="0"/>
        </w:rPr>
        <w:t xml:space="preserve">reduziram o contato com as pessoas, mas continuaram saindo de casa para trabalho ou atividades não essenciais e recebendo visitas</w:t>
      </w:r>
      <w:r w:rsidDel="00000000" w:rsidR="00000000" w:rsidRPr="00000000">
        <w:rPr>
          <w:rtl w:val="0"/>
        </w:rPr>
        <w:t xml:space="preserve"> e apenas 9,3% (1.596) </w:t>
      </w:r>
      <w:r w:rsidDel="00000000" w:rsidR="00000000" w:rsidRPr="00000000">
        <w:rPr>
          <w:b w:val="1"/>
          <w:rtl w:val="0"/>
        </w:rPr>
        <w:t xml:space="preserve">ficaram rigorosamente em casa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Numa análise por estado, o gráfico revela que as regiões Norte e Nordeste, especialmente os estados do Amazonas (AM) e Pará (PA), apresentaram uma maior incidência de registros vermelhos, indicando que mais pessoas nesses estados levaram uma vida normal, sem restrições, durante a pandemia. Por outro lado, a região Sudeste, com destaque para o Distrito Federal (DF) e Minas Gerais (MG), teve uma maior proporção de pessoas que ficaram rigorosamente em casa (barras laranjas), refletindo um comportamento mais restritivo em relação à mobilidade.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135587</wp:posOffset>
            </wp:positionV>
            <wp:extent cx="6997982" cy="3780397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7982" cy="3780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Para complementar a análise dos impactos da exposição, selecionamos os sintomas mais comuns relacionados à COVID-19 de acordo com os órgãos de saúde: </w:t>
      </w:r>
      <w:r w:rsidDel="00000000" w:rsidR="00000000" w:rsidRPr="00000000">
        <w:rPr>
          <w:b w:val="1"/>
          <w:rtl w:val="0"/>
        </w:rPr>
        <w:t xml:space="preserve">tosse, febre e fadiga</w:t>
      </w:r>
      <w:r w:rsidDel="00000000" w:rsidR="00000000" w:rsidRPr="00000000">
        <w:rPr>
          <w:rtl w:val="0"/>
        </w:rPr>
        <w:t xml:space="preserve">. Além disso, analisamos a taxa de procura de atendimento especializado, resultados de três tipos de exames (exame  de sangue no dedo, exame de cotonete e exame de sangue na veia) e ocorrência de internação maior que um dia: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todos os respondentes, </w:t>
      </w:r>
      <w:r w:rsidDel="00000000" w:rsidR="00000000" w:rsidRPr="00000000">
        <w:rPr>
          <w:b w:val="1"/>
          <w:rtl w:val="0"/>
        </w:rPr>
        <w:t xml:space="preserve">4,4% relataram que sentiram pelo menos um ou mais sintomas escolhidos. </w:t>
      </w:r>
      <w:r w:rsidDel="00000000" w:rsidR="00000000" w:rsidRPr="00000000">
        <w:rPr>
          <w:rtl w:val="0"/>
        </w:rPr>
        <w:t xml:space="preserve">O sintoma mais recorrente foi tosse, seguido por fadiga e depois por febre.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Dos respondentes que </w:t>
      </w:r>
      <w:r w:rsidDel="00000000" w:rsidR="00000000" w:rsidRPr="00000000">
        <w:rPr>
          <w:b w:val="1"/>
          <w:rtl w:val="0"/>
        </w:rPr>
        <w:t xml:space="preserve">sentiram algum tipo de sintoma, 24,8% procuraram algum tipo de atendimento especializado</w:t>
      </w:r>
      <w:r w:rsidDel="00000000" w:rsidR="00000000" w:rsidRPr="00000000">
        <w:rPr>
          <w:rtl w:val="0"/>
        </w:rPr>
        <w:t xml:space="preserve">. Quando comparamos com os respondentes que </w:t>
      </w:r>
      <w:r w:rsidDel="00000000" w:rsidR="00000000" w:rsidRPr="00000000">
        <w:rPr>
          <w:b w:val="1"/>
          <w:rtl w:val="0"/>
        </w:rPr>
        <w:t xml:space="preserve">não sentiram esses sintomas, a procura por atendimento foi de 0,5%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Daqueles que </w:t>
      </w:r>
      <w:r w:rsidDel="00000000" w:rsidR="00000000" w:rsidRPr="00000000">
        <w:rPr>
          <w:b w:val="1"/>
          <w:rtl w:val="0"/>
        </w:rPr>
        <w:t xml:space="preserve">relataram algum tipo de sintoma, 2,8% receberam resultado positivo</w:t>
      </w:r>
      <w:r w:rsidDel="00000000" w:rsidR="00000000" w:rsidRPr="00000000">
        <w:rPr>
          <w:rtl w:val="0"/>
        </w:rPr>
        <w:t xml:space="preserve"> para COVID-19, enquanto apenas </w:t>
      </w:r>
      <w:r w:rsidDel="00000000" w:rsidR="00000000" w:rsidRPr="00000000">
        <w:rPr>
          <w:b w:val="1"/>
          <w:rtl w:val="0"/>
        </w:rPr>
        <w:t xml:space="preserve">0,5% receberam positivo entre aqueles que não sentiram sintomas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4,4% dos que sentiram febre testaram positivo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4,2% dos que sentiram fadiga testaram positivo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3,2% dos que sentiram tosse testaram positivo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gráfico mostra a soma de relatos dos sintomas (febre, tosse e fadiga) por estado (UF):</w:t>
      </w:r>
    </w:p>
    <w:p w:rsidR="00000000" w:rsidDel="00000000" w:rsidP="00000000" w:rsidRDefault="00000000" w:rsidRPr="00000000" w14:paraId="000000D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56405" cy="348433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405" cy="3484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São Paulo (SP)</w:t>
      </w:r>
      <w:r w:rsidDel="00000000" w:rsidR="00000000" w:rsidRPr="00000000">
        <w:rPr>
          <w:rtl w:val="0"/>
        </w:rPr>
        <w:t xml:space="preserve"> tem o maior número total de sintomas relatados, seguido por </w:t>
      </w:r>
      <w:r w:rsidDel="00000000" w:rsidR="00000000" w:rsidRPr="00000000">
        <w:rPr>
          <w:b w:val="1"/>
          <w:rtl w:val="0"/>
        </w:rPr>
        <w:t xml:space="preserve">Rio de Janeiro (RJ)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Minas Gerais (MG)</w:t>
      </w:r>
      <w:r w:rsidDel="00000000" w:rsidR="00000000" w:rsidRPr="00000000">
        <w:rPr>
          <w:rtl w:val="0"/>
        </w:rPr>
        <w:t xml:space="preserve">. Em todo o Brasil, o sintoma mais relatado foi a fadiga..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Isso sugere que a distribuição de sintomas não foi homogênea no país, com alguns estados apresentando um maior impacto durante a pandemia. O volume de habitantes pode influenciar diretamente a soma de sintomas relatados em cada unidade federativa (UF). Estados com maior população, como </w:t>
      </w:r>
      <w:r w:rsidDel="00000000" w:rsidR="00000000" w:rsidRPr="00000000">
        <w:rPr>
          <w:b w:val="1"/>
          <w:rtl w:val="0"/>
        </w:rPr>
        <w:t xml:space="preserve">São Paulo (SP)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Minas Gerais (MG)</w:t>
      </w:r>
      <w:r w:rsidDel="00000000" w:rsidR="00000000" w:rsidRPr="00000000">
        <w:rPr>
          <w:rtl w:val="0"/>
        </w:rPr>
        <w:t xml:space="preserve">, tendem a ter mais pessoas infectadas, o que aumenta a probabilidade de maior número de sintomas registrados. Essa relação é esperada, já que regiões com mais habitantes apresentam uma maior exposição ao vírus e maior circulação de pessoas, aumentando o risco de transmissão. No entanto, para verificar se a relação é de fato proporcional à população, podemos analisar os dados pela quantidade de habitantes em cada estado. Podemos entender se o número de sintomas por habitante é maior em alguns estados do que em outros.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base na tabela populacional por estado divulgada em 28/06/2023 pelo IBGE, podemos calcular a taxa de sintomas por habitante por unidade federativa usando o seguinte cálculo: </w:t>
      </w:r>
    </w:p>
    <w:p w:rsidR="00000000" w:rsidDel="00000000" w:rsidP="00000000" w:rsidRDefault="00000000" w:rsidRPr="00000000" w14:paraId="000000DE">
      <w:pPr>
        <w:jc w:val="center"/>
        <w:rPr/>
      </w:pPr>
      <m:oMath>
        <m:r>
          <w:rPr>
            <w:sz w:val="28"/>
            <w:szCs w:val="28"/>
          </w:rPr>
          <m:t xml:space="preserve">Taxa de sintomas por habitante = Soma de sintomas no estado / População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cálculo mostra a relação entre a soma de sintomas e a população para cada unidade federativa, calculando a "taxa de sintomas por habitante". Os estados com a maior taxa de sintomas por habitante são: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Roraima (RR)</w:t>
      </w:r>
      <w:r w:rsidDel="00000000" w:rsidR="00000000" w:rsidRPr="00000000">
        <w:rPr>
          <w:rtl w:val="0"/>
        </w:rPr>
        <w:t xml:space="preserve">: 0.000079 sintomas por habitante.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Acre (AC)</w:t>
      </w:r>
      <w:r w:rsidDel="00000000" w:rsidR="00000000" w:rsidRPr="00000000">
        <w:rPr>
          <w:rtl w:val="0"/>
        </w:rPr>
        <w:t xml:space="preserve">: 0.000075 sintomas por habitante.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Amapá (AP)</w:t>
      </w:r>
      <w:r w:rsidDel="00000000" w:rsidR="00000000" w:rsidRPr="00000000">
        <w:rPr>
          <w:rtl w:val="0"/>
        </w:rPr>
        <w:t xml:space="preserve">: 0.000059 sintomas por habitante.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Espírito Santo (ES)</w:t>
      </w:r>
      <w:r w:rsidDel="00000000" w:rsidR="00000000" w:rsidRPr="00000000">
        <w:rPr>
          <w:rtl w:val="0"/>
        </w:rPr>
        <w:t xml:space="preserve">: 0.000030 sintomas por habitante.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Paraíba (PB)</w:t>
      </w:r>
      <w:r w:rsidDel="00000000" w:rsidR="00000000" w:rsidRPr="00000000">
        <w:rPr>
          <w:rtl w:val="0"/>
        </w:rPr>
        <w:t xml:space="preserve">: 0.000026 sintomas por habitante.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Já os estados com as menores taxas são: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Bahia (BA)</w:t>
      </w:r>
      <w:r w:rsidDel="00000000" w:rsidR="00000000" w:rsidRPr="00000000">
        <w:rPr>
          <w:rtl w:val="0"/>
        </w:rPr>
        <w:t xml:space="preserve">: 0.000004 sintomas por habitante.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Minas Gerais (MG)</w:t>
      </w:r>
      <w:r w:rsidDel="00000000" w:rsidR="00000000" w:rsidRPr="00000000">
        <w:rPr>
          <w:rtl w:val="0"/>
        </w:rPr>
        <w:t xml:space="preserve">: 0.000004 sintomas por habitante.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São Paulo (SP)</w:t>
      </w:r>
      <w:r w:rsidDel="00000000" w:rsidR="00000000" w:rsidRPr="00000000">
        <w:rPr>
          <w:rtl w:val="0"/>
        </w:rPr>
        <w:t xml:space="preserve">: 0.000006 sintomas por habitante.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Isso indica que estados com menor população, como Roraima e Acre, apresentam uma taxa de sintomas por habitante mais elevada alta, enquanto estados mais populosos como São Paulo e Minas Gerais possuem taxas mais baixas, o que pode ser influenciado pelo grande número de habitantes diluindo os sintomas registrados.</w:t>
      </w:r>
    </w:p>
    <w:p w:rsidR="00000000" w:rsidDel="00000000" w:rsidP="00000000" w:rsidRDefault="00000000" w:rsidRPr="00000000" w14:paraId="000000E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Ao realizarmos essa análise olhando para os testes positivos, vemos um comportamento um pouco diferente em relação aos sintomas: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533400</wp:posOffset>
            </wp:positionV>
            <wp:extent cx="5731200" cy="32131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São Paulo continua sendo o estado com maior número de casos positivos, de novo seguido por Rio de Janeiro, mas agora com o Maranhão logo em seguida. Porém, para trazer um contexto proporcional à população, precisamos realizar novamente o cálculo feito para os sintomas. Com o cálculo realizado, se observa o seguinte: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estados com a maior taxa de infectados por habitante são: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Amapá (AP)</w:t>
      </w:r>
      <w:r w:rsidDel="00000000" w:rsidR="00000000" w:rsidRPr="00000000">
        <w:rPr>
          <w:rtl w:val="0"/>
        </w:rPr>
        <w:t xml:space="preserve">: 0.0000177 infectados por habitante.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Roraima (RO)</w:t>
      </w:r>
      <w:r w:rsidDel="00000000" w:rsidR="00000000" w:rsidRPr="00000000">
        <w:rPr>
          <w:rtl w:val="0"/>
        </w:rPr>
        <w:t xml:space="preserve">: 0.0000109 infectados por habitante.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Acre (AC)</w:t>
      </w:r>
      <w:r w:rsidDel="00000000" w:rsidR="00000000" w:rsidRPr="00000000">
        <w:rPr>
          <w:rtl w:val="0"/>
        </w:rPr>
        <w:t xml:space="preserve">: 0.0000072 infectados por habitante.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Distrito Federal (DF)</w:t>
      </w:r>
      <w:r w:rsidDel="00000000" w:rsidR="00000000" w:rsidRPr="00000000">
        <w:rPr>
          <w:rtl w:val="0"/>
        </w:rPr>
        <w:t xml:space="preserve">: 0.0000067 infectados por habitante.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Paraíba (PB)</w:t>
      </w:r>
      <w:r w:rsidDel="00000000" w:rsidR="00000000" w:rsidRPr="00000000">
        <w:rPr>
          <w:rtl w:val="0"/>
        </w:rPr>
        <w:t xml:space="preserve">: 0.0000045 infectados por habitante.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Já os estados com as menores taxas são: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Mato Grosso do Sul (MS)</w:t>
      </w:r>
      <w:r w:rsidDel="00000000" w:rsidR="00000000" w:rsidRPr="00000000">
        <w:rPr>
          <w:rtl w:val="0"/>
        </w:rPr>
        <w:t xml:space="preserve">: 0.00000072 infectados por habitante.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Goiás (GO)</w:t>
      </w:r>
      <w:r w:rsidDel="00000000" w:rsidR="00000000" w:rsidRPr="00000000">
        <w:rPr>
          <w:rtl w:val="0"/>
        </w:rPr>
        <w:t xml:space="preserve">: 0.0000007 infectados por habitante.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Paraná (PR)</w:t>
      </w:r>
      <w:r w:rsidDel="00000000" w:rsidR="00000000" w:rsidRPr="00000000">
        <w:rPr>
          <w:rtl w:val="0"/>
        </w:rPr>
        <w:t xml:space="preserve">: 0.00000026 infectados por habitante.</w:t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Podemos ver que os estados do norte lideram o quadro de infectados por estado. Também não é possível identificar uma relação com o número de habitantes, pois se esperava que estados mais populosos apresentassem uma taxa proporcional menor do que estados com menor número de habitantes.</w:t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É interessante ressaltar que a tabela de dados possui 52.144 linhas de informação e representa 0,026% da população brasileira de 2022.</w:t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Subtitle"/>
        <w:spacing w:after="240" w:before="240" w:lineRule="auto"/>
        <w:jc w:val="both"/>
        <w:rPr/>
      </w:pPr>
      <w:bookmarkStart w:colFirst="0" w:colLast="0" w:name="_vh9sqvzuf34" w:id="29"/>
      <w:bookmarkEnd w:id="29"/>
      <w:r w:rsidDel="00000000" w:rsidR="00000000" w:rsidRPr="00000000">
        <w:rPr>
          <w:rtl w:val="0"/>
        </w:rPr>
        <w:t xml:space="preserve">Conclusão e prospecção futura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A pandemia de COVID-19 trouxe muitos desafios para nossa sociedade em todos os aspectos imagináveis. Tivemos que enfrentar muitas barreiras no combate ao vírus, a desinformação espalhou muitas inverdades sobre a doença, atrapalhando o processo de conscientização. Muitas pessoas tiveram suas rotinas de trabalho extremamente alteradas por conta de novos modelos de trabalho e restrições aplicadas, e, nessas restrições, houve desafios no engajamento acerca da importância do distanciamento social. O atendimento aos infectados e realizações de testes em massa foram mal planejados, o que contribuiu ainda mais na disseminação do vírus.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Muitas reflexões foram tiradas desse período pandêmico, e é obrigação de órgãos públicos e de saúde estarem melhor preparados para uma outra eventual pandemia, abaixo estão algumas sugestões de possíveis ações que o hospital, tanto como ambiente de saúde mas também como agente conscientizador, pode tomar para mitigar possíveis novos impactos. Essas ações buscam não apenas diminuir o impacto de um novo surto, mas também reduzir as desigualdades identificadas durante a análise, garantindo uma resposta mais organizada e eficiente: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Reforçar campanhas de vacinação</w:t>
      </w:r>
      <w:r w:rsidDel="00000000" w:rsidR="00000000" w:rsidRPr="00000000">
        <w:rPr>
          <w:rtl w:val="0"/>
        </w:rPr>
        <w:t xml:space="preserve">: É importante garantir que a vacinação chegue a todos, ainda mais aos grupos mais vulneráveis e às regiões onde a adesão ao isolamento foi menor, como Norte e Nordeste. Promover campanhas educativas focadas na importância da vacinação pode aumentar a proteção da população contra novos surtos.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Fortalecer medidas de isolamento social</w:t>
      </w:r>
      <w:r w:rsidDel="00000000" w:rsidR="00000000" w:rsidRPr="00000000">
        <w:rPr>
          <w:rtl w:val="0"/>
        </w:rPr>
        <w:t xml:space="preserve">: Reforçar as medidas de isolamento e incentivar a adesão às recomendações, sobretudo entre os grupos de maior risco. A comunicação sobre a importância do distanciamento social deve ser intensificada, principalmente em áreas com alta exposição ao vírus e onde se verificou uma adesão menor ao isolamento durante o surto anterior.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Aumento da capacidade hospitalar e recursos médicos</w:t>
      </w:r>
      <w:r w:rsidDel="00000000" w:rsidR="00000000" w:rsidRPr="00000000">
        <w:rPr>
          <w:rtl w:val="0"/>
        </w:rPr>
        <w:t xml:space="preserve">: Ampliar a capacidade de atendimento hospitalar para casos graves, especialmente com mais leitos e recursos de emergência, será essencial para evitar a quebra do sistema de saúde. Garantir disponibilidade de testes e equipamentos de suporte, como ventiladores, pode contribuir para melhorar a resposta em caso de nova pandemia.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Melhorar atendimento domiciliar e telemedicina</w:t>
      </w:r>
      <w:r w:rsidDel="00000000" w:rsidR="00000000" w:rsidRPr="00000000">
        <w:rPr>
          <w:rtl w:val="0"/>
        </w:rPr>
        <w:t xml:space="preserve">: Expandir o uso de telemedicina e atendimentos domiciliares pode ajudar a diminuir a sobrecarga dos hospitais. A adoção de consultas virtuais para acompanhar de perto os sintomas e oferecer ajuda médica remota deve ser uma prioridade, permitindo um acompanhamento seguro e de qualidade.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Priorizar assistência às populações vulneráveis</w:t>
      </w:r>
      <w:r w:rsidDel="00000000" w:rsidR="00000000" w:rsidRPr="00000000">
        <w:rPr>
          <w:rtl w:val="0"/>
        </w:rPr>
        <w:t xml:space="preserve">: Grupos de menor escolaridade e trabalhadores de setores que não permitem home office foram bastante impactados, tanto pela exposição ao vírus quanto pela diminuição de renda. O foco deve ser em apoiar essas áreas com recursos que possam reduzir a exposição e oferecer suporte econômico.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Monitoramento constante dos indicadores de saúde</w:t>
      </w:r>
      <w:r w:rsidDel="00000000" w:rsidR="00000000" w:rsidRPr="00000000">
        <w:rPr>
          <w:rtl w:val="0"/>
        </w:rPr>
        <w:t xml:space="preserve">: Manter um sistema de monitoramento contínuo das taxas de sintomas e casos positivos é interessante para antecipar medidas preventivas. Os dados podem ser usados para criar alertas de saúde e definir ações em tempo hábil, garantindo uma resposta rápida às mudanças nos indicadores analisados.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Oferecer suporte psicológico e financeiro</w:t>
      </w:r>
      <w:r w:rsidDel="00000000" w:rsidR="00000000" w:rsidRPr="00000000">
        <w:rPr>
          <w:rtl w:val="0"/>
        </w:rPr>
        <w:t xml:space="preserve">: As pessoas de áreas essenciais que não tiveram opção de realizar home office precisam de suporte para minimizar os riscos à saúde e o impacto econômico. Isso inclui suporte psicológico, que veio à tona nos anos de pandemia, já que muitos enfrentaram maior exposição ao risco, e auxílio financeiro para assegurar sua proteção e bem-estar.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Campanhas educativas e comunicação direta</w:t>
      </w:r>
      <w:r w:rsidDel="00000000" w:rsidR="00000000" w:rsidRPr="00000000">
        <w:rPr>
          <w:rtl w:val="0"/>
        </w:rPr>
        <w:t xml:space="preserve">: A comunicação deve ser clara e focada em conscientizar sobre a importância das medidas preventivas. Campanhas educativas focadas no público em geral, utilizando linguagem de fácil entendimento e adaptada aos contextos regionais, podem contribuir para aumentar a adesão às recomendações de saúde.</w:t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