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80"/>
      </w:pPr>
      <w:r>
        <w:rPr>
          <w:rFonts w:ascii="Times New Roman" w:cs="Times New Roman" w:eastAsia="Times New Roman" w:hAnsi="Times New Roman"/>
          <w:b/>
          <w:bCs/>
          <w:sz w:val="28"/>
          <w:szCs w:val="28"/>
        </w:rPr>
        <w:t xml:space="preserve">1. Introduction</w:t>
      </w:r>
    </w:p>
    <w:p>
      <w:pPr>
        <w:spacing w:after="200" w:before="0" w:line="360" w:lineRule="auto"/>
        <w:ind w:firstLine="720"/>
        <w:jc w:val="both"/>
      </w:pPr>
      <w:r>
        <w:rPr>
          <w:rFonts w:ascii="Times New Roman" w:cs="Times New Roman" w:eastAsia="Times New Roman" w:hAnsi="Times New Roman"/>
          <w:sz w:val="24"/>
          <w:szCs w:val="24"/>
        </w:rPr>
        <w:t xml:space="preserve">Tree ensemble methods—random forests (Breiman, 2001) and gradient boosting machines (Friedman, 2001; Prokhorenkova et al., 2018)—consistently achieve state-of-the-art classification performance on structured tabular data and underpin a growing share of automated decision systems in high-impact domains. Their predictive superiority, however, comes at the cost of opacity: the collective decision logic of an ensemble cannot be directly inspected, limiting its suitability for settings that require auditability and human oversight.</w:t>
      </w:r>
    </w:p>
    <w:p>
      <w:pPr>
        <w:spacing w:after="200" w:before="0" w:line="360" w:lineRule="auto"/>
        <w:ind w:firstLine="720"/>
        <w:jc w:val="both"/>
      </w:pPr>
      <w:r>
        <w:rPr>
          <w:rFonts w:ascii="Times New Roman" w:cs="Times New Roman" w:eastAsia="Times New Roman" w:hAnsi="Times New Roman"/>
          <w:sz w:val="24"/>
          <w:szCs w:val="24"/>
        </w:rPr>
        <w:t xml:space="preserve">Ordered decision lists—sequences of IF-THEN rules evaluated until one fires—constitute the preferred representation for governed algorithmic decisions, as they provide global, complete, and falsifiable accounts of model behavior that are directly actionable by domain experts and auditors (Miller, 2019; Rudin, 2019). Unlike local approximations such as LIME or SHAP, a decision list derived faithfully from the ensemble offers systemic traceability: every prediction is attributable to an explicit, verifiable rule.</w:t>
      </w:r>
    </w:p>
    <w:p>
      <w:pPr>
        <w:spacing w:after="200" w:before="0" w:line="360" w:lineRule="auto"/>
        <w:ind w:firstLine="720"/>
        <w:jc w:val="both"/>
      </w:pPr>
      <w:r>
        <w:rPr>
          <w:rFonts w:ascii="Times New Roman" w:cs="Times New Roman" w:eastAsia="Times New Roman" w:hAnsi="Times New Roman"/>
          <w:sz w:val="24"/>
          <w:szCs w:val="24"/>
        </w:rPr>
        <w:t xml:space="preserve">The principal obstacle is scale. Naive path enumeration over a tree ensemble of even moderate size produces rulesets of thousands of overlapping, redundant rules that negate the interpretability they are meant to enable. The CatBoost model of Jaramillo, Teran, and Loza-Aguirre (2024), trained on the Lending Club dataset (1,863,513 records, 12 features, 2007-2020 Q3), exemplifies this: 68 trees yield 1,681 crisp rules—a volume that is operationally inauditable and well beyond human working-memory limits (Miller, 1956; Rudin, 2019).</w:t>
      </w:r>
    </w:p>
    <w:p>
      <w:pPr>
        <w:spacing w:after="200" w:before="0" w:line="360" w:lineRule="auto"/>
        <w:ind w:firstLine="720"/>
        <w:jc w:val="both"/>
      </w:pPr>
      <w:r>
        <w:rPr>
          <w:rFonts w:ascii="Times New Roman" w:cs="Times New Roman" w:eastAsia="Times New Roman" w:hAnsi="Times New Roman"/>
          <w:sz w:val="24"/>
          <w:szCs w:val="24"/>
        </w:rPr>
        <w:t xml:space="preserve">Regulatory and governance frameworks have formalized the need for compact, verifiable rule sets. The EU Artificial Intelligence Act (European Union, 2024) imposes transparency and human-oversight requirements on high-risk automated systems, while data governance scholarship identifies traceability—the capacity to reconstruct the reasoning chain behind each decision—as a non-negotiable governance property (Janssen et al., 2020). A non-redundant decision list is therefore simultaneously a scientific objective and an institutional compliance artifact.</w:t>
      </w:r>
    </w:p>
    <w:p>
      <w:pPr>
        <w:spacing w:after="200" w:before="0" w:line="360" w:lineRule="auto"/>
        <w:ind w:firstLine="720"/>
        <w:jc w:val="both"/>
      </w:pPr>
      <w:r>
        <w:rPr>
          <w:rFonts w:ascii="Times New Roman" w:cs="Times New Roman" w:eastAsia="Times New Roman" w:hAnsi="Times New Roman"/>
          <w:sz w:val="24"/>
          <w:szCs w:val="24"/>
        </w:rPr>
        <w:t xml:space="preserve">In this work, we apply the RuleCOSI+ algorithm (Obregon &amp; Jung, 2023) on the pretrained model of Jaramillo et al. (2024) to reduce the extracted ruleset, seeking the minimum subset that preserves fidelity to the original model and maximizes interpretability for the decision-maker. RuleCOSI+ has been validated on 33 benchmark datasets across six ensemble algorithms, producing compact decision lists with average F-measure of 91.82% and condition non-redundancy (UNIQ) of 78.4%—properties unmatched in combination by any prior method. This thesis extends that scope to a real-world, large-scale CatBoost ensemble and contributes a documented case study of rule compression under the structural constraints of oblivious gradient boosting trees.</w:t>
      </w:r>
    </w:p>
    <w:p>
      <w:pPr>
        <w:pStyle w:val="Heading1"/>
        <w:spacing w:after="200" w:before="480"/>
      </w:pPr>
      <w:r>
        <w:rPr>
          <w:rFonts w:ascii="Times New Roman" w:cs="Times New Roman" w:eastAsia="Times New Roman" w:hAnsi="Times New Roman"/>
          <w:b/>
          <w:bCs/>
          <w:sz w:val="28"/>
          <w:szCs w:val="28"/>
        </w:rPr>
        <w:t xml:space="preserve">2. Theoretical Framework</w:t>
      </w:r>
    </w:p>
    <w:p>
      <w:pPr>
        <w:pStyle w:val="Heading2"/>
        <w:spacing w:after="120" w:before="320"/>
      </w:pPr>
      <w:r>
        <w:rPr>
          <w:rFonts w:ascii="Times New Roman" w:cs="Times New Roman" w:eastAsia="Times New Roman" w:hAnsi="Times New Roman"/>
          <w:b/>
          <w:bCs/>
          <w:sz w:val="24"/>
          <w:szCs w:val="24"/>
        </w:rPr>
        <w:t xml:space="preserve">2.1 Explainable Artificial Intelligence and Post-Hoc Ensemble Simplification</w:t>
      </w:r>
    </w:p>
    <w:p>
      <w:pPr>
        <w:spacing w:after="200" w:before="0" w:line="360" w:lineRule="auto"/>
        <w:ind w:firstLine="720"/>
        <w:jc w:val="both"/>
      </w:pPr>
      <w:r>
        <w:rPr>
          <w:rFonts w:ascii="Times New Roman" w:cs="Times New Roman" w:eastAsia="Times New Roman" w:hAnsi="Times New Roman"/>
          <w:sz w:val="24"/>
          <w:szCs w:val="24"/>
        </w:rPr>
        <w:t xml:space="preserve">XAI methods are broadly categorized as ante-hoc—intrinsically interpretable models—or post-hoc—explanations derived after training (Arrieta et al., 2020; Lipton, 2018). Within post-hoc explainability, local model-agnostic methods (LIME, SHAP) produce instance-level approximations that lack global fidelity guarantees, whereas ensemble simplification methods extract globally faithful, compact representations of the ensemble's decision logic. RuleCOSI+ (Obregon &amp; Jung, 2023) is a global, model-specific, post-hoc method that outputs an ordered decision list—a surrogate that is provably coverage-complete over the training distribution and directly auditable.</w:t>
      </w:r>
    </w:p>
    <w:p>
      <w:pPr>
        <w:pStyle w:val="Heading2"/>
        <w:spacing w:after="120" w:before="320"/>
      </w:pPr>
      <w:r>
        <w:rPr>
          <w:rFonts w:ascii="Times New Roman" w:cs="Times New Roman" w:eastAsia="Times New Roman" w:hAnsi="Times New Roman"/>
          <w:b/>
          <w:bCs/>
          <w:sz w:val="24"/>
          <w:szCs w:val="24"/>
        </w:rPr>
        <w:t xml:space="preserve">2.2 State of the Art in Rule Extraction from Tree Ensembles</w:t>
      </w:r>
    </w:p>
    <w:p>
      <w:pPr>
        <w:spacing w:after="200" w:before="0" w:line="360" w:lineRule="auto"/>
        <w:ind w:firstLine="720"/>
        <w:jc w:val="both"/>
      </w:pPr>
      <w:r>
        <w:rPr>
          <w:rFonts w:ascii="Times New Roman" w:cs="Times New Roman" w:eastAsia="Times New Roman" w:hAnsi="Times New Roman"/>
          <w:sz w:val="24"/>
          <w:szCs w:val="24"/>
        </w:rPr>
        <w:t xml:space="preserve">RuleFit (Friedman &amp; Popescu, 2008) enumerates all tree paths as binary features and applies LASSO to weight them, achieving competitive predictive performance but producing large rulesets with no explicit condition-redundancy removal. inTrees (Deng, 2019) applies frequency- and error-based pruning followed by sequential covering to obtain an ordered decision list, advancing rule selection but lacking cross-tree condition merging, which leaves condition-level overlap unresolved. DefragTrees (Hara &amp; Hayashi, 2018) applies Bayesian model selection to partition the feature space into interpretable rectangular regions, but its non-overlapping partition structure is ill-suited to classification ensembles and scales poorly with ensemble size. Sagi and Rokach (2020, 2021) proposed Forest-based Trees, distilling the ensemble into a single shallow surrogate tree; the approach is efficient but sacrifices the fine-grained rule specificity of the original ensemble through the structural constraints of a single tree topology.</w:t>
      </w:r>
    </w:p>
    <w:p>
      <w:pPr>
        <w:pStyle w:val="Heading2"/>
        <w:spacing w:after="120" w:before="320"/>
      </w:pPr>
      <w:r>
        <w:rPr>
          <w:rFonts w:ascii="Times New Roman" w:cs="Times New Roman" w:eastAsia="Times New Roman" w:hAnsi="Times New Roman"/>
          <w:b/>
          <w:bCs/>
          <w:sz w:val="24"/>
          <w:szCs w:val="24"/>
        </w:rPr>
        <w:t xml:space="preserve">2.3 Limitations of Existing Methods and the Justification for RuleCOSI+</w:t>
      </w:r>
    </w:p>
    <w:p>
      <w:pPr>
        <w:spacing w:after="200" w:before="0" w:line="360" w:lineRule="auto"/>
        <w:ind w:firstLine="720"/>
        <w:jc w:val="both"/>
      </w:pPr>
      <w:r>
        <w:rPr>
          <w:rFonts w:ascii="Times New Roman" w:cs="Times New Roman" w:eastAsia="Times New Roman" w:hAnsi="Times New Roman"/>
          <w:sz w:val="24"/>
          <w:szCs w:val="24"/>
        </w:rPr>
        <w:t xml:space="preserve">No existing method simultaneously achieves aggressive size reduction, condition non-redundancy, and maintained classification performance. Obregon and Jung (2023) operationalize this gap through two metrics: REDU = 1 - N_rules(R) / N_rules(H), quantifying proportional rule compression, and UNIQ = |A| / |A*|, the ratio of unique to total conditions across the ruleset. Across 33 UCI datasets, RuleCOSI+ attains the highest UNIQ (78.4%), second-best REDU, and F-measure (91.82%) equal to the best competitor (RuleFit)—a combination unachieved by any prior method and the primary empirical justification for its selection in this work.</w:t>
      </w:r>
    </w:p>
    <w:p>
      <w:pPr>
        <w:pStyle w:val="Heading2"/>
        <w:spacing w:after="120" w:before="320"/>
      </w:pPr>
      <w:r>
        <w:rPr>
          <w:rFonts w:ascii="Times New Roman" w:cs="Times New Roman" w:eastAsia="Times New Roman" w:hAnsi="Times New Roman"/>
          <w:b/>
          <w:bCs/>
          <w:sz w:val="24"/>
          <w:szCs w:val="24"/>
        </w:rPr>
        <w:t xml:space="preserve">2.4 Decision-Making with IF-THEN Rules: Traceability and Governed Explainability</w:t>
      </w:r>
    </w:p>
    <w:p>
      <w:pPr>
        <w:spacing w:after="200" w:before="0" w:line="360" w:lineRule="auto"/>
        <w:ind w:firstLine="720"/>
        <w:jc w:val="both"/>
      </w:pPr>
      <w:r>
        <w:rPr>
          <w:rFonts w:ascii="Times New Roman" w:cs="Times New Roman" w:eastAsia="Times New Roman" w:hAnsi="Times New Roman"/>
          <w:sz w:val="24"/>
          <w:szCs w:val="24"/>
        </w:rPr>
        <w:t xml:space="preserve">Miller (2019) demonstrates that human explanatory preferences are contrastive and condition-specific, making IF-THEN rules the representation format most aligned with natural human decision reasoning. Rudin (2019) extends this to a normative claim: in high-stakes settings, compact and verifiable rule sets are not merely preferable but necessary, as post-hoc approximations of black-box models cannot serve as reliable accountability instruments. Decision lists provide both local traceability—each prediction is attributed to a specific rule—and global auditability—the complete ordered list constitutes a policy document reviewable without access to the original model (Doshi-Velez &amp; Kim, 2017). The EU AI Act (European Union, 2024) and data governance frameworks (Janssen et al., 2020; Arrieta et al., 2020) formalize these properties as binding compliance requirements for high-risk automated systems.</w:t>
      </w:r>
    </w:p>
    <w:p>
      <w:pPr>
        <w:pStyle w:val="Heading2"/>
        <w:spacing w:after="120" w:before="320"/>
      </w:pPr>
      <w:r>
        <w:rPr>
          <w:rFonts w:ascii="Times New Roman" w:cs="Times New Roman" w:eastAsia="Times New Roman" w:hAnsi="Times New Roman"/>
          <w:b/>
          <w:bCs/>
          <w:sz w:val="24"/>
          <w:szCs w:val="24"/>
        </w:rPr>
        <w:t xml:space="preserve">2.5 The RuleCOSI+ Algorithm: Mechanisms, Metrics, and Empirical Performance</w:t>
      </w:r>
    </w:p>
    <w:p>
      <w:pPr>
        <w:spacing w:after="200" w:before="0" w:line="360" w:lineRule="auto"/>
        <w:ind w:firstLine="720"/>
        <w:jc w:val="both"/>
      </w:pPr>
      <w:r>
        <w:rPr>
          <w:rFonts w:ascii="Times New Roman" w:cs="Times New Roman" w:eastAsia="Times New Roman" w:hAnsi="Times New Roman"/>
          <w:sz w:val="24"/>
          <w:szCs w:val="24"/>
        </w:rPr>
        <w:t xml:space="preserve">RuleCOSI+ processes a trained ensemble H and training set D through three sequential stages. CombineRulesets greedily merges rules from consecutive tree pairs by conjoining compatible conditions and averaging class probability vectors, generating candidate rules that encode cross-tree interaction logic. SequentialCoveringPruning iteratively selects the rule maximizing accuracy-coverage on uncovered instances, removes covered instances, and terminates when no further improvement is possible. GeneralizeRuleset removes individual conditions whose elimination does not increase the C4.5 binomial error upper bound, directly improving UNIQ. A default rule classifies remaining instances by majority vote. The algorithm produces compact decision lists averaging 15.3 rules for random forest inputs and ~12 for gradient boosting, with a documented extreme case of 749 rules compressed to 6 (REDU 99.20%, UNIQ 85.71%) on the Australian credit dataset (Obregon &amp; Jung, 2023). The authors note reduced performance on CatBoost specifically, attributing it to the oblivious tree architecture—identical split conditions at each depth level—which constrains condition diversity and limits productive cross-tree combination in CombineRulesets. A 2026 extension, RCProb (Obregon, 2026), reformulates confidence estimation probabilistically, reducing runtime ~22x on large datasets while maintaining competitive performance.</w:t>
      </w:r>
    </w:p>
    <w:p>
      <w:pPr>
        <w:pStyle w:val="Heading2"/>
        <w:spacing w:after="120" w:before="320"/>
      </w:pPr>
      <w:r>
        <w:rPr>
          <w:rFonts w:ascii="Times New Roman" w:cs="Times New Roman" w:eastAsia="Times New Roman" w:hAnsi="Times New Roman"/>
          <w:b/>
          <w:bCs/>
          <w:sz w:val="24"/>
          <w:szCs w:val="24"/>
        </w:rPr>
        <w:t xml:space="preserve">2.6 The Jaramillo et al. (2024) Model as Thesis Entry Point</w:t>
      </w:r>
    </w:p>
    <w:p>
      <w:pPr>
        <w:spacing w:after="200" w:before="0" w:line="360" w:lineRule="auto"/>
        <w:ind w:firstLine="720"/>
        <w:jc w:val="both"/>
      </w:pPr>
      <w:r>
        <w:rPr>
          <w:rFonts w:ascii="Times New Roman" w:cs="Times New Roman" w:eastAsia="Times New Roman" w:hAnsi="Times New Roman"/>
          <w:sz w:val="24"/>
          <w:szCs w:val="24"/>
        </w:rPr>
        <w:t xml:space="preserve">Jaramillo et al. (2024) present a five-stage pipeline converting a trained CatBoost classifier into a fuzzy inference system for credit scoring. The Stage 1 model—trained on Lending Club (1,863,513 records, 12 features)—consists of 68 trees yielding 1,681 crisp IF-THEN rules at Stage 2, constituting the entry point for this thesis. The application of RuleCOSI+ at this juncture pursues a fundamentally different compression objective: rather than fuzzification, the goal is to identify the minimum non-redundant decision list that preserves fidelity to the original ensemble. The oblivious tree structure of CatBoost—documented as a limiting factor for RuleCOSI+ by Obregon and Jung (2023)—constitutes a methodological boundary condition that this thesis empirically characterizes, contributing a real-world case study of rule compression under oblivious gradient boosting constraints and its implications for governance-ready model deployment.</w:t>
      </w:r>
    </w:p>
    <w:p>
      <w:pPr>
        <w:pStyle w:val="Heading1"/>
        <w:spacing w:after="200" w:before="480"/>
      </w:pPr>
      <w:r>
        <w:rPr>
          <w:rFonts w:ascii="Times New Roman" w:cs="Times New Roman" w:eastAsia="Times New Roman" w:hAnsi="Times New Roman"/>
          <w:b/>
          <w:bCs/>
          <w:sz w:val="28"/>
          <w:szCs w:val="28"/>
        </w:rPr>
        <w:t xml:space="preserve">References</w:t>
      </w:r>
    </w:p>
    <w:p>
      <w:pPr>
        <w:spacing w:after="200" w:before="0" w:line="360" w:lineRule="auto"/>
        <w:ind w:left="720" w:hanging="720"/>
        <w:jc w:val="both"/>
      </w:pPr>
      <w:r>
        <w:rPr>
          <w:rFonts w:ascii="Times New Roman" w:cs="Times New Roman" w:eastAsia="Times New Roman" w:hAnsi="Times New Roman"/>
          <w:sz w:val="24"/>
          <w:szCs w:val="24"/>
        </w:rPr>
        <w:t xml:space="preserve">Arrieta, A. B., Diaz-Rodriguez, N., Del Ser, J., Bennetot, A., Tabik, S., Barbado, A., Garcia, S., Gil-Lopez, S., Molina, D., Benjamins, R., Chatila, R., &amp; Herrera, F. (2020). Explainable Artificial Intelligence (XAI): Concepts, taxonomies, opportunities and challenges toward responsible AI. Information Fusion, 58, 82-115. https://doi.org/10.1016/j.inffus.2019.12.012</w:t>
      </w:r>
    </w:p>
    <w:p>
      <w:pPr>
        <w:spacing w:after="200" w:before="0" w:line="360" w:lineRule="auto"/>
        <w:ind w:left="720" w:hanging="720"/>
        <w:jc w:val="both"/>
      </w:pPr>
      <w:r>
        <w:rPr>
          <w:rFonts w:ascii="Times New Roman" w:cs="Times New Roman" w:eastAsia="Times New Roman" w:hAnsi="Times New Roman"/>
          <w:sz w:val="24"/>
          <w:szCs w:val="24"/>
        </w:rPr>
        <w:t xml:space="preserve">Breiman, L. (2001). Random forests. Machine Learning, 45(1), 5-32. https://doi.org/10.1023/A:1010933404324</w:t>
      </w:r>
    </w:p>
    <w:p>
      <w:pPr>
        <w:spacing w:after="200" w:before="0" w:line="360" w:lineRule="auto"/>
        <w:ind w:left="720" w:hanging="720"/>
        <w:jc w:val="both"/>
      </w:pPr>
      <w:r>
        <w:rPr>
          <w:rFonts w:ascii="Times New Roman" w:cs="Times New Roman" w:eastAsia="Times New Roman" w:hAnsi="Times New Roman"/>
          <w:sz w:val="24"/>
          <w:szCs w:val="24"/>
        </w:rPr>
        <w:t xml:space="preserve">Chen, T., &amp; Guestrin, C. (2016). XGBoost: A scalable tree boosting system. Proceedings of the 22nd ACM SIGKDD International Conference on Knowledge Discovery and Data Mining (pp. 785-794). https://doi.org/10.1145/2939672.2939785</w:t>
      </w:r>
    </w:p>
    <w:p>
      <w:pPr>
        <w:spacing w:after="200" w:before="0" w:line="360" w:lineRule="auto"/>
        <w:ind w:left="720" w:hanging="720"/>
        <w:jc w:val="both"/>
      </w:pPr>
      <w:r>
        <w:rPr>
          <w:rFonts w:ascii="Times New Roman" w:cs="Times New Roman" w:eastAsia="Times New Roman" w:hAnsi="Times New Roman"/>
          <w:sz w:val="24"/>
          <w:szCs w:val="24"/>
        </w:rPr>
        <w:t xml:space="preserve">Deng, H. (2019). Interpreting tree ensembles with inTrees. International Journal of Data Science and Analytics, 7(4), 277-287. https://doi.org/10.1007/s41060-018-0144-8</w:t>
      </w:r>
    </w:p>
    <w:p>
      <w:pPr>
        <w:spacing w:after="200" w:before="0" w:line="360" w:lineRule="auto"/>
        <w:ind w:left="720" w:hanging="720"/>
        <w:jc w:val="both"/>
      </w:pPr>
      <w:r>
        <w:rPr>
          <w:rFonts w:ascii="Times New Roman" w:cs="Times New Roman" w:eastAsia="Times New Roman" w:hAnsi="Times New Roman"/>
          <w:sz w:val="24"/>
          <w:szCs w:val="24"/>
        </w:rPr>
        <w:t xml:space="preserve">Doshi-Velez, F., &amp; Kim, B. (2017). Towards a rigorous science of interpretable machine learning. arXiv preprint arXiv:1702.08608.</w:t>
      </w:r>
    </w:p>
    <w:p>
      <w:pPr>
        <w:spacing w:after="200" w:before="0" w:line="360" w:lineRule="auto"/>
        <w:ind w:left="720" w:hanging="720"/>
        <w:jc w:val="both"/>
      </w:pPr>
      <w:r>
        <w:rPr>
          <w:rFonts w:ascii="Times New Roman" w:cs="Times New Roman" w:eastAsia="Times New Roman" w:hAnsi="Times New Roman"/>
          <w:sz w:val="24"/>
          <w:szCs w:val="24"/>
        </w:rPr>
        <w:t xml:space="preserve">European Union. (2024). Regulation (EU) 2024/1689 of the European Parliament and of the Council on artificial intelligence (Artificial Intelligence Act). Official Journal of the European Union, L Series.</w:t>
      </w:r>
    </w:p>
    <w:p>
      <w:pPr>
        <w:spacing w:after="200" w:before="0" w:line="360" w:lineRule="auto"/>
        <w:ind w:left="720" w:hanging="720"/>
        <w:jc w:val="both"/>
      </w:pPr>
      <w:r>
        <w:rPr>
          <w:rFonts w:ascii="Times New Roman" w:cs="Times New Roman" w:eastAsia="Times New Roman" w:hAnsi="Times New Roman"/>
          <w:sz w:val="24"/>
          <w:szCs w:val="24"/>
        </w:rPr>
        <w:t xml:space="preserve">Friedman, J. H. (2001). Greedy function approximation: A gradient boosting machine. Annals of Statistics, 29(5), 1189-1232. https://doi.org/10.1214/aos/1013203451</w:t>
      </w:r>
    </w:p>
    <w:p>
      <w:pPr>
        <w:spacing w:after="200" w:before="0" w:line="360" w:lineRule="auto"/>
        <w:ind w:left="720" w:hanging="720"/>
        <w:jc w:val="both"/>
      </w:pPr>
      <w:r>
        <w:rPr>
          <w:rFonts w:ascii="Times New Roman" w:cs="Times New Roman" w:eastAsia="Times New Roman" w:hAnsi="Times New Roman"/>
          <w:sz w:val="24"/>
          <w:szCs w:val="24"/>
        </w:rPr>
        <w:t xml:space="preserve">Friedman, J. H., &amp; Popescu, B. E. (2008). Predictive learning via rule ensembles. The Annals of Applied Statistics, 2(3), 916-954. https://doi.org/10.1214/07-AOAS148</w:t>
      </w:r>
    </w:p>
    <w:p>
      <w:pPr>
        <w:spacing w:after="200" w:before="0" w:line="360" w:lineRule="auto"/>
        <w:ind w:left="720" w:hanging="720"/>
        <w:jc w:val="both"/>
      </w:pPr>
      <w:r>
        <w:rPr>
          <w:rFonts w:ascii="Times New Roman" w:cs="Times New Roman" w:eastAsia="Times New Roman" w:hAnsi="Times New Roman"/>
          <w:sz w:val="24"/>
          <w:szCs w:val="24"/>
        </w:rPr>
        <w:t xml:space="preserve">Hara, S., &amp; Hayashi, K. (2018). Making tree ensembles interpretable: A Bayesian model selection approach. Proceedings of AISTATS 2018, PMLR 84, 77-85.</w:t>
      </w:r>
    </w:p>
    <w:p>
      <w:pPr>
        <w:spacing w:after="200" w:before="0" w:line="360" w:lineRule="auto"/>
        <w:ind w:left="720" w:hanging="720"/>
        <w:jc w:val="both"/>
      </w:pPr>
      <w:r>
        <w:rPr>
          <w:rFonts w:ascii="Times New Roman" w:cs="Times New Roman" w:eastAsia="Times New Roman" w:hAnsi="Times New Roman"/>
          <w:sz w:val="24"/>
          <w:szCs w:val="24"/>
        </w:rPr>
        <w:t xml:space="preserve">Janssen, M., Brous, P., Estevez, E., Barbosa, L. S., &amp; Janowski, T. (2020). Data governance: Organizing data for trustworthy Artificial Intelligence. Government Information Quarterly, 37(3), 101493. https://doi.org/10.1016/j.giq.2020.101493</w:t>
      </w:r>
    </w:p>
    <w:p>
      <w:pPr>
        <w:spacing w:after="200" w:before="0" w:line="360" w:lineRule="auto"/>
        <w:ind w:left="720" w:hanging="720"/>
        <w:jc w:val="both"/>
      </w:pPr>
      <w:r>
        <w:rPr>
          <w:rFonts w:ascii="Times New Roman" w:cs="Times New Roman" w:eastAsia="Times New Roman" w:hAnsi="Times New Roman"/>
          <w:sz w:val="24"/>
          <w:szCs w:val="24"/>
        </w:rPr>
        <w:t xml:space="preserve">Jaramillo, B., Teran, L., &amp; Loza-Aguirre, E. (2024). Interpretable credit scoring through optimized fuzzy inference systems from gradient boosting trees. [Preprint].</w:t>
      </w:r>
    </w:p>
    <w:p>
      <w:pPr>
        <w:spacing w:after="200" w:before="0" w:line="360" w:lineRule="auto"/>
        <w:ind w:left="720" w:hanging="720"/>
        <w:jc w:val="both"/>
      </w:pPr>
      <w:r>
        <w:rPr>
          <w:rFonts w:ascii="Times New Roman" w:cs="Times New Roman" w:eastAsia="Times New Roman" w:hAnsi="Times New Roman"/>
          <w:sz w:val="24"/>
          <w:szCs w:val="24"/>
        </w:rPr>
        <w:t xml:space="preserve">Lipton, Z. C. (2018). The mythos of model interpretability. Queue, 16(3), 31-57. https://doi.org/10.1145/3236386.3241340</w:t>
      </w:r>
    </w:p>
    <w:p>
      <w:pPr>
        <w:spacing w:after="200" w:before="0" w:line="360" w:lineRule="auto"/>
        <w:ind w:left="720" w:hanging="720"/>
        <w:jc w:val="both"/>
      </w:pPr>
      <w:r>
        <w:rPr>
          <w:rFonts w:ascii="Times New Roman" w:cs="Times New Roman" w:eastAsia="Times New Roman" w:hAnsi="Times New Roman"/>
          <w:sz w:val="24"/>
          <w:szCs w:val="24"/>
        </w:rPr>
        <w:t xml:space="preserve">Lundberg, S. M., &amp; Lee, S.-I. (2017). A unified approach to interpreting model predictions. Advances in Neural Information Processing Systems, 30, 4765-4774.</w:t>
      </w:r>
    </w:p>
    <w:p>
      <w:pPr>
        <w:spacing w:after="200" w:before="0" w:line="360" w:lineRule="auto"/>
        <w:ind w:left="720" w:hanging="720"/>
        <w:jc w:val="both"/>
      </w:pPr>
      <w:r>
        <w:rPr>
          <w:rFonts w:ascii="Times New Roman" w:cs="Times New Roman" w:eastAsia="Times New Roman" w:hAnsi="Times New Roman"/>
          <w:sz w:val="24"/>
          <w:szCs w:val="24"/>
        </w:rPr>
        <w:t xml:space="preserve">Miller, G. A. (1956). The magical number seven, plus or minus two. Psychological Review, 63(2), 81-97. https://doi.org/10.1037/h0043158</w:t>
      </w:r>
    </w:p>
    <w:p>
      <w:pPr>
        <w:spacing w:after="200" w:before="0" w:line="360" w:lineRule="auto"/>
        <w:ind w:left="720" w:hanging="720"/>
        <w:jc w:val="both"/>
      </w:pPr>
      <w:r>
        <w:rPr>
          <w:rFonts w:ascii="Times New Roman" w:cs="Times New Roman" w:eastAsia="Times New Roman" w:hAnsi="Times New Roman"/>
          <w:sz w:val="24"/>
          <w:szCs w:val="24"/>
        </w:rPr>
        <w:t xml:space="preserve">Miller, T. (2019). Explanation in artificial intelligence: Insights from the social sciences. Artificial Intelligence, 267, 1-38. https://doi.org/10.1016/j.artint.2018.07.007</w:t>
      </w:r>
    </w:p>
    <w:p>
      <w:pPr>
        <w:spacing w:after="200" w:before="0" w:line="360" w:lineRule="auto"/>
        <w:ind w:left="720" w:hanging="720"/>
        <w:jc w:val="both"/>
      </w:pPr>
      <w:r>
        <w:rPr>
          <w:rFonts w:ascii="Times New Roman" w:cs="Times New Roman" w:eastAsia="Times New Roman" w:hAnsi="Times New Roman"/>
          <w:sz w:val="24"/>
          <w:szCs w:val="24"/>
        </w:rPr>
        <w:t xml:space="preserve">Obregon, J. (2026). RCProb: Probabilistic rule extraction for efficient simplification of tree ensembles. arXiv preprint arXiv:2604.25304.</w:t>
      </w:r>
    </w:p>
    <w:p>
      <w:pPr>
        <w:spacing w:after="200" w:before="0" w:line="360" w:lineRule="auto"/>
        <w:ind w:left="720" w:hanging="720"/>
        <w:jc w:val="both"/>
      </w:pPr>
      <w:r>
        <w:rPr>
          <w:rFonts w:ascii="Times New Roman" w:cs="Times New Roman" w:eastAsia="Times New Roman" w:hAnsi="Times New Roman"/>
          <w:sz w:val="24"/>
          <w:szCs w:val="24"/>
        </w:rPr>
        <w:t xml:space="preserve">Obregon, J., &amp; Jung, J.-Y. (2023). RuleCOSI+: Rule extraction for interpreting classification tree ensembles. Information Fusion, 89, 355-381. https://doi.org/10.1016/j.inffus.2022.08.021</w:t>
      </w:r>
    </w:p>
    <w:p>
      <w:pPr>
        <w:spacing w:after="200" w:before="0" w:line="360" w:lineRule="auto"/>
        <w:ind w:left="720" w:hanging="720"/>
        <w:jc w:val="both"/>
      </w:pPr>
      <w:r>
        <w:rPr>
          <w:rFonts w:ascii="Times New Roman" w:cs="Times New Roman" w:eastAsia="Times New Roman" w:hAnsi="Times New Roman"/>
          <w:sz w:val="24"/>
          <w:szCs w:val="24"/>
        </w:rPr>
        <w:t xml:space="preserve">Prokhorenkova, L., Gusev, G., Vorobev, A., Dorogush, A. V., &amp; Gulin, A. (2018). CatBoost: Unbiased boosting with categorical features. Advances in Neural Information Processing Systems, 31.</w:t>
      </w:r>
    </w:p>
    <w:p>
      <w:pPr>
        <w:spacing w:after="200" w:before="0" w:line="360" w:lineRule="auto"/>
        <w:ind w:left="720" w:hanging="720"/>
        <w:jc w:val="both"/>
      </w:pPr>
      <w:r>
        <w:rPr>
          <w:rFonts w:ascii="Times New Roman" w:cs="Times New Roman" w:eastAsia="Times New Roman" w:hAnsi="Times New Roman"/>
          <w:sz w:val="24"/>
          <w:szCs w:val="24"/>
        </w:rPr>
        <w:t xml:space="preserve">Ribeiro, M. T., Singh, S., &amp; Guestrin, C. (2016). "Why should I trust you?": Explaining the predictions of any classifier. Proceedings of the 22nd ACM SIGKDD (pp. 1135-1144). https://doi.org/10.1145/2939672.2939778</w:t>
      </w:r>
    </w:p>
    <w:p>
      <w:pPr>
        <w:spacing w:after="200" w:before="0" w:line="360" w:lineRule="auto"/>
        <w:ind w:left="720" w:hanging="720"/>
        <w:jc w:val="both"/>
      </w:pPr>
      <w:r>
        <w:rPr>
          <w:rFonts w:ascii="Times New Roman" w:cs="Times New Roman" w:eastAsia="Times New Roman" w:hAnsi="Times New Roman"/>
          <w:sz w:val="24"/>
          <w:szCs w:val="24"/>
        </w:rPr>
        <w:t xml:space="preserve">Rudin, C. (2019). Stop explaining black box machine learning models for high stakes decisions and use interpretable models instead. Nature Machine Intelligence, 1(5), 206-215. https://doi.org/10.1038/s42256-019-0048-x</w:t>
      </w:r>
    </w:p>
    <w:p>
      <w:pPr>
        <w:spacing w:after="200" w:before="0" w:line="360" w:lineRule="auto"/>
        <w:ind w:left="720" w:hanging="720"/>
        <w:jc w:val="both"/>
      </w:pPr>
      <w:r>
        <w:rPr>
          <w:rFonts w:ascii="Times New Roman" w:cs="Times New Roman" w:eastAsia="Times New Roman" w:hAnsi="Times New Roman"/>
          <w:sz w:val="24"/>
          <w:szCs w:val="24"/>
        </w:rPr>
        <w:t xml:space="preserve">Sagi, O., &amp; Rokach, L. (2020). Explainability for tree ensembles. arXiv preprint arXiv:2003.09862.</w:t>
      </w:r>
    </w:p>
    <w:p>
      <w:pPr>
        <w:spacing w:after="200" w:before="0" w:line="360" w:lineRule="auto"/>
        <w:ind w:left="720" w:hanging="720"/>
        <w:jc w:val="both"/>
      </w:pPr>
      <w:r>
        <w:rPr>
          <w:rFonts w:ascii="Times New Roman" w:cs="Times New Roman" w:eastAsia="Times New Roman" w:hAnsi="Times New Roman"/>
          <w:sz w:val="24"/>
          <w:szCs w:val="24"/>
        </w:rPr>
        <w:t xml:space="preserve">Sagi, O., &amp; Rokach, L. (2021). Approximating XGBoost with an interpretable decision tree. Information Sciences, 572, 522-542. https://doi.org/10.1016/j.ins.2021.05.055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2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2026-06-25T12:02:15.420Z</dcterms:created>
  <dcterms:modified xsi:type="dcterms:W3CDTF">2026-06-25T12:02:15.420Z</dcterms:modified>
</cp:coreProperties>
</file>

<file path=docProps/custom.xml><?xml version="1.0" encoding="utf-8"?>
<Properties xmlns="http://schemas.openxmlformats.org/officeDocument/2006/custom-properties" xmlns:vt="http://schemas.openxmlformats.org/officeDocument/2006/docPropsVTypes"/>
</file>