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21afbd0cf8b138b72f0f7dc405c82b59fb8bb84"/>
    <w:p>
      <w:pPr>
        <w:pStyle w:val="Heading1"/>
      </w:pPr>
      <w:r>
        <w:t xml:space="preserve">Contrato de governança e desenvolvimento — Monitora-Campestre-Savanico</w:t>
      </w:r>
    </w:p>
    <w:p>
      <w:pPr>
        <w:pStyle w:val="FirstParagraph"/>
      </w:pPr>
      <w:r>
        <w:rPr>
          <w:b/>
          <w:bCs/>
        </w:rPr>
        <w:t xml:space="preserve">Subtítulo:</w:t>
      </w:r>
      <w:r>
        <w:t xml:space="preserve"> </w:t>
      </w:r>
      <w:r>
        <w:t xml:space="preserve">Contrato-base consolidado com resultados das auditorias H2R/H2R-C e trilha 03.5I–03.5N.</w:t>
      </w:r>
    </w:p>
    <w:p>
      <w:pPr>
        <w:pStyle w:val="BodyText"/>
      </w:pPr>
      <w:r>
        <w:rPr>
          <w:b/>
          <w:bCs/>
        </w:rPr>
        <w:t xml:space="preserve">Premissa obrigatória:</w:t>
      </w:r>
      <w:r>
        <w:t xml:space="preserve"> </w:t>
      </w:r>
      <w:r>
        <w:t xml:space="preserve">o contrato-base anterior permanece vigente e integral; este documento consolida, não substitui. Nenhuma premissa consolidada pode ser violada sem aviso explícito e parada.</w:t>
      </w:r>
    </w:p>
    <w:bookmarkStart w:id="9" w:name="cláusula-de-preservação-do-contrato-base"/>
    <w:p>
      <w:pPr>
        <w:pStyle w:val="Heading2"/>
      </w:pPr>
      <w:r>
        <w:t xml:space="preserve">0. Cláusula de preservação do contrato-base</w:t>
      </w:r>
    </w:p>
    <w:p>
      <w:pPr>
        <w:pStyle w:val="FirstParagraph"/>
      </w:pPr>
      <w:r>
        <w:t xml:space="preserve">O contrato-base anterior permanece vigente, integral e aplicável a todo desenvolvimento futuro do Monitora-Campestre-Savanico.</w:t>
      </w:r>
    </w:p>
    <w:p>
      <w:pPr>
        <w:pStyle w:val="BodyText"/>
      </w:pPr>
      <w:r>
        <w:t xml:space="preserve">Este documento é uma consolidação operacional e documental das premissas já pactuadas, dos resultados das auditorias H2R/H2R-C e da trilha incremental 03.5I–03.5N. Ele não revoga, não reduz e não substitui obrigações anteriores.</w:t>
      </w:r>
    </w:p>
    <w:p>
      <w:pPr>
        <w:pStyle w:val="BodyText"/>
      </w:pPr>
      <w:r>
        <w:t xml:space="preserve">Qualquer tarefa que exija violar, enfraquecer ou contornar uma premissa deste contrato deve declarar a violação de forma explícita e parar antes de executar alterações.</w:t>
      </w:r>
    </w:p>
    <w:bookmarkEnd w:id="9"/>
    <w:bookmarkStart w:id="10" w:name="premissa-mãe-motor-único-de-contrato"/>
    <w:p>
      <w:pPr>
        <w:pStyle w:val="Heading2"/>
      </w:pPr>
      <w:r>
        <w:t xml:space="preserve">1. Premissa-mãe: motor único de contrato</w:t>
      </w:r>
    </w:p>
    <w:p>
      <w:pPr>
        <w:pStyle w:val="FirstParagraph"/>
      </w:pPr>
      <w:r>
        <w:t xml:space="preserve">O projeto deve evoluir para um motor único de contrato sem comprometer o script validado.</w:t>
      </w:r>
    </w:p>
    <w:p>
      <w:pPr>
        <w:pStyle w:val="BodyText"/>
      </w:pPr>
      <w:r>
        <w:t xml:space="preserve">O contrato único deve ser a fonte de verdade para importação, organização, pré-validação, painel, pós-validação,</w:t>
      </w:r>
      <w:r>
        <w:t xml:space="preserve"> </w:t>
      </w:r>
      <w:r>
        <w:rPr>
          <w:rStyle w:val="VerbatimChar"/>
        </w:rPr>
        <w:t xml:space="preserve">registros_corrig.csv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, estatísticas e gráficos.</w:t>
      </w:r>
    </w:p>
    <w:p>
      <w:pPr>
        <w:pStyle w:val="BodyText"/>
      </w:pPr>
      <w:r>
        <w:t xml:space="preserve">A aplicação do contrato deve ocorrer por perfis derivados, e não por uma implementação monolítica que substitua todos os subsistemas de uma vez.</w:t>
      </w:r>
    </w:p>
    <w:bookmarkEnd w:id="10"/>
    <w:bookmarkStart w:id="11" w:name="baseline-e-estratégia"/>
    <w:p>
      <w:pPr>
        <w:pStyle w:val="Heading2"/>
      </w:pPr>
      <w:r>
        <w:t xml:space="preserve">2. Baseline e estratégia</w:t>
      </w:r>
    </w:p>
    <w:p>
      <w:pPr>
        <w:pStyle w:val="FirstParagraph"/>
      </w:pPr>
      <w:r>
        <w:t xml:space="preserve">A referência técnica é a v2.6.0 golden baseline.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v2.6.2_teste</w:t>
      </w:r>
      <w:r>
        <w:t xml:space="preserve"> </w:t>
      </w:r>
      <w:r>
        <w:t xml:space="preserve">não deve ser remendada como base principal.</w:t>
      </w:r>
    </w:p>
    <w:p>
      <w:pPr>
        <w:pStyle w:val="BodyText"/>
      </w:pPr>
      <w:r>
        <w:t xml:space="preserve">Funcionalidades posteriores à v2.6.0 devem ser reaplicadas em camadas pequenas, auditadas, performáticas e reversíveis.</w:t>
      </w:r>
    </w:p>
    <w:p>
      <w:pPr>
        <w:pStyle w:val="BodyText"/>
      </w:pPr>
      <w:r>
        <w:t xml:space="preserve">O projeto não deve substituir subsistemas inteiros de uma vez. A estratégia correta é auditar fontes, criar uma fonte única embutida, criar índices e caches, e só então migrar consumidores.</w:t>
      </w:r>
    </w:p>
    <w:bookmarkEnd w:id="11"/>
    <w:bookmarkStart w:id="12" w:name="contrato-único"/>
    <w:p>
      <w:pPr>
        <w:pStyle w:val="Heading2"/>
      </w:pPr>
      <w:r>
        <w:t xml:space="preserve">3. Contrato único</w:t>
      </w:r>
    </w:p>
    <w:p>
      <w:pPr>
        <w:pStyle w:val="FirstParagraph"/>
      </w:pPr>
      <w:r>
        <w:t xml:space="preserve">O contrato único deve integrar, em uma única fonte de verdade:</w:t>
      </w:r>
    </w:p>
    <w:p>
      <w:pPr>
        <w:pStyle w:val="Compact"/>
        <w:numPr>
          <w:ilvl w:val="0"/>
          <w:numId w:val="1001"/>
        </w:numPr>
      </w:pPr>
      <w:r>
        <w:t xml:space="preserve">XLSForm 21FEV25.</w:t>
      </w:r>
    </w:p>
    <w:p>
      <w:pPr>
        <w:pStyle w:val="Compact"/>
        <w:numPr>
          <w:ilvl w:val="0"/>
          <w:numId w:val="1001"/>
        </w:numPr>
      </w:pPr>
      <w:r>
        <w:t xml:space="preserve">Template SISMONITORA com 129 atributos.</w:t>
      </w:r>
    </w:p>
    <w:p>
      <w:pPr>
        <w:pStyle w:val="Compact"/>
        <w:numPr>
          <w:ilvl w:val="0"/>
          <w:numId w:val="1001"/>
        </w:numPr>
      </w:pPr>
      <w:r>
        <w:t xml:space="preserve">Metadados administrativos.</w:t>
      </w:r>
    </w:p>
    <w:p>
      <w:pPr>
        <w:pStyle w:val="Compact"/>
        <w:numPr>
          <w:ilvl w:val="0"/>
          <w:numId w:val="1001"/>
        </w:numPr>
      </w:pPr>
      <w:r>
        <w:t xml:space="preserve">Colunas técnicas permitidas.</w:t>
      </w:r>
    </w:p>
    <w:p>
      <w:pPr>
        <w:pStyle w:val="Compact"/>
        <w:numPr>
          <w:ilvl w:val="0"/>
          <w:numId w:val="1001"/>
        </w:numPr>
      </w:pPr>
      <w:r>
        <w:t xml:space="preserve">Aliases e labels históricos, com e sem HTML.</w:t>
      </w:r>
    </w:p>
    <w:p>
      <w:pPr>
        <w:pStyle w:val="Compact"/>
        <w:numPr>
          <w:ilvl w:val="0"/>
          <w:numId w:val="1001"/>
        </w:numPr>
      </w:pPr>
      <w:r>
        <w:t xml:space="preserve">Paths.</w:t>
      </w:r>
    </w:p>
    <w:p>
      <w:pPr>
        <w:pStyle w:val="Compact"/>
        <w:numPr>
          <w:ilvl w:val="0"/>
          <w:numId w:val="1001"/>
        </w:numPr>
      </w:pPr>
      <w:r>
        <w:t xml:space="preserve">Names curtos.</w:t>
      </w:r>
    </w:p>
    <w:p>
      <w:pPr>
        <w:pStyle w:val="Compact"/>
        <w:numPr>
          <w:ilvl w:val="0"/>
          <w:numId w:val="1001"/>
        </w:numPr>
      </w:pPr>
      <w:r>
        <w:t xml:space="preserve">Tipos,</w:t>
      </w:r>
      <w:r>
        <w:t xml:space="preserve"> </w:t>
      </w:r>
      <w:r>
        <w:rPr>
          <w:rStyle w:val="VerbatimChar"/>
        </w:rPr>
        <w:t xml:space="preserve">type_base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list_name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Choices.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relevant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Grupos, repeats e campo pai.</w:t>
      </w:r>
    </w:p>
    <w:p>
      <w:pPr>
        <w:pStyle w:val="Compact"/>
        <w:numPr>
          <w:ilvl w:val="0"/>
          <w:numId w:val="1001"/>
        </w:numPr>
      </w:pPr>
      <w:r>
        <w:t xml:space="preserve">Cardinalidade operacional.</w:t>
      </w:r>
    </w:p>
    <w:p>
      <w:pPr>
        <w:pStyle w:val="Compact"/>
        <w:numPr>
          <w:ilvl w:val="0"/>
          <w:numId w:val="1001"/>
        </w:numPr>
      </w:pPr>
      <w:r>
        <w:t xml:space="preserve">Mapeamento histórico -&gt; canônico 2025.</w:t>
      </w:r>
    </w:p>
    <w:p>
      <w:pPr>
        <w:pStyle w:val="Compact"/>
        <w:numPr>
          <w:ilvl w:val="0"/>
          <w:numId w:val="1001"/>
        </w:numPr>
      </w:pPr>
      <w:r>
        <w:t xml:space="preserve">Severidade.</w:t>
      </w:r>
    </w:p>
    <w:p>
      <w:pPr>
        <w:pStyle w:val="Compact"/>
        <w:numPr>
          <w:ilvl w:val="0"/>
          <w:numId w:val="1001"/>
        </w:numPr>
      </w:pPr>
      <w:r>
        <w:t xml:space="preserve">Estágio.</w:t>
      </w:r>
    </w:p>
    <w:p>
      <w:pPr>
        <w:pStyle w:val="Compact"/>
        <w:numPr>
          <w:ilvl w:val="0"/>
          <w:numId w:val="1001"/>
        </w:numPr>
      </w:pPr>
      <w:r>
        <w:t xml:space="preserve">Origem da regra.</w:t>
      </w:r>
    </w:p>
    <w:p>
      <w:pPr>
        <w:pStyle w:val="Compact"/>
        <w:numPr>
          <w:ilvl w:val="0"/>
          <w:numId w:val="1001"/>
        </w:numPr>
      </w:pPr>
      <w:r>
        <w:t xml:space="preserve">Status de confiança.</w:t>
      </w:r>
    </w:p>
    <w:p>
      <w:pPr>
        <w:pStyle w:val="FirstParagraph"/>
      </w:pPr>
      <w:r>
        <w:t xml:space="preserve">Não há contratos concorrentes. Fontes paralelas, listas paralelas e hard-codes fora da fonte única são violações deste contrato.</w:t>
      </w:r>
    </w:p>
    <w:bookmarkEnd w:id="12"/>
    <w:bookmarkStart w:id="13" w:name="local-e-independência"/>
    <w:p>
      <w:pPr>
        <w:pStyle w:val="Heading2"/>
      </w:pPr>
      <w:r>
        <w:t xml:space="preserve">4. Local e independência</w:t>
      </w:r>
    </w:p>
    <w:p>
      <w:pPr>
        <w:pStyle w:val="FirstParagraph"/>
      </w:pPr>
      <w:r>
        <w:t xml:space="preserve">A fonte única deve ser embutida no script público.</w:t>
      </w:r>
    </w:p>
    <w:p>
      <w:pPr>
        <w:pStyle w:val="BodyText"/>
      </w:pPr>
      <w:r>
        <w:t xml:space="preserve">Não pode haver dependência runtime de XLSX, CSV, ZIP, planilhas externas,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log/</w:t>
      </w:r>
      <w:r>
        <w:t xml:space="preserve">.</w:t>
      </w:r>
    </w:p>
    <w:p>
      <w:pPr>
        <w:pStyle w:val="BodyText"/>
      </w:pPr>
      <w:r>
        <w:t xml:space="preserve">Fontes externas podem existir apenas para auditoria e desenvolvimento.</w:t>
      </w:r>
    </w:p>
    <w:p>
      <w:pPr>
        <w:pStyle w:val="BodyText"/>
      </w:pPr>
      <w:r>
        <w:t xml:space="preserve">O template CSV 2025 integral não deve ser versionado se contiver dado real.</w:t>
      </w:r>
    </w:p>
    <w:bookmarkEnd w:id="13"/>
    <w:bookmarkStart w:id="14" w:name="perfis-derivados"/>
    <w:p>
      <w:pPr>
        <w:pStyle w:val="Heading2"/>
      </w:pPr>
      <w:r>
        <w:t xml:space="preserve">5. Perfis derivados</w:t>
      </w:r>
    </w:p>
    <w:p>
      <w:pPr>
        <w:pStyle w:val="FirstParagraph"/>
      </w:pPr>
      <w:r>
        <w:t xml:space="preserve">Os perfis operacionais devem ser derivados da fonte única, nunca mantidos como fontes paralelas: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perfil_importacao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perfil_pre_painel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perfil_painel_edicao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perfil_pos_painel_corrig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perfil_export_registros_validados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perfil_estatisticas_graficos</w:t>
      </w:r>
      <w:r>
        <w:t xml:space="preserve">.</w:t>
      </w:r>
    </w:p>
    <w:p>
      <w:pPr>
        <w:pStyle w:val="FirstParagraph"/>
      </w:pPr>
      <w:r>
        <w:t xml:space="preserve">Cada perfil deve declarar seu estágio, escopo, campos aplicáveis, severidade, cardinalidade, regras relevantes e status de confiança.</w:t>
      </w:r>
    </w:p>
    <w:bookmarkEnd w:id="14"/>
    <w:bookmarkStart w:id="15" w:name="linhagem-e-escopo-contrato-base"/>
    <w:p>
      <w:pPr>
        <w:pStyle w:val="Heading2"/>
      </w:pPr>
      <w:r>
        <w:t xml:space="preserve">6. Linhagem e escopo contrato-base</w:t>
      </w:r>
    </w:p>
    <w:p>
      <w:pPr>
        <w:pStyle w:val="FirstParagraph"/>
      </w:pPr>
      <w:r>
        <w:rPr>
          <w:rStyle w:val="VerbatimChar"/>
        </w:rPr>
        <w:t xml:space="preserve">registros_importados_bruto.csv</w:t>
      </w:r>
      <w:r>
        <w:t xml:space="preserve"> </w:t>
      </w:r>
      <w:r>
        <w:t xml:space="preserve">é a camada fiel/técnica de importação bruta.</w:t>
      </w:r>
    </w:p>
    <w:p>
      <w:pPr>
        <w:pStyle w:val="BodyText"/>
      </w:pPr>
      <w:r>
        <w:rPr>
          <w:rStyle w:val="VerbatimChar"/>
        </w:rPr>
        <w:t xml:space="preserve">registros_importados.csv</w:t>
      </w:r>
      <w:r>
        <w:t xml:space="preserve"> </w:t>
      </w:r>
      <w:r>
        <w:t xml:space="preserve">é a camada canônica de importação, organizada e comparável, sem sanitização final.</w:t>
      </w:r>
    </w:p>
    <w:p>
      <w:pPr>
        <w:pStyle w:val="BodyText"/>
      </w:pPr>
      <w:r>
        <w:t xml:space="preserve">A base pré-painel deve ser derivada por</w:t>
      </w:r>
      <w:r>
        <w:t xml:space="preserve"> </w:t>
      </w:r>
      <w:r>
        <w:rPr>
          <w:rStyle w:val="VerbatimChar"/>
        </w:rPr>
        <w:t xml:space="preserve">perfil_pre_painel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registros_corrig.csv</w:t>
      </w:r>
      <w:r>
        <w:t xml:space="preserve"> </w:t>
      </w:r>
      <w:r>
        <w:t xml:space="preserve">é camada operacional em correção, não necessariamente final.</w:t>
      </w:r>
    </w:p>
    <w:p>
      <w:pPr>
        <w:pStyle w:val="BodyText"/>
      </w:pPr>
      <w:r>
        <w:rPr>
          <w:rStyle w:val="VerbatimChar"/>
        </w:rPr>
        <w:t xml:space="preserve">registros_validados.csv</w:t>
      </w:r>
      <w:r>
        <w:t xml:space="preserve"> </w:t>
      </w:r>
      <w:r>
        <w:t xml:space="preserve">é a projeção final SISMONITORA com 129 colunas, criada apenas quando a pós-validação permitir.</w:t>
      </w:r>
    </w:p>
    <w:bookmarkEnd w:id="15"/>
    <w:bookmarkStart w:id="16" w:name="linhagem-consolidada-pós-h2rh2r-c"/>
    <w:p>
      <w:pPr>
        <w:pStyle w:val="Heading2"/>
      </w:pPr>
      <w:r>
        <w:t xml:space="preserve">7. Linhagem consolidada pós-H2R/H2R-C</w:t>
      </w:r>
    </w:p>
    <w:p>
      <w:pPr>
        <w:pStyle w:val="FirstParagraph"/>
      </w:pPr>
      <w:r>
        <w:t xml:space="preserve">A cadeia materializada consolidada é:</w:t>
      </w:r>
    </w:p>
    <w:p>
      <w:pPr>
        <w:pStyle w:val="BodyText"/>
      </w:pPr>
      <w:r>
        <w:rPr>
          <w:rStyle w:val="VerbatimChar"/>
        </w:rPr>
        <w:t xml:space="preserve">registros_importados_bruto.csv -&gt; registros_importados.csv -&gt; registros_importados_operacional_pre_painel.csv -&gt; registros_corrig.csv -&gt; registros_validados.csv</w:t>
      </w:r>
      <w:r>
        <w:t xml:space="preserve">.</w:t>
      </w:r>
    </w:p>
    <w:p>
      <w:pPr>
        <w:pStyle w:val="BodyText"/>
      </w:pPr>
      <w:r>
        <w:t xml:space="preserve">O novo produto é uma camada operacional pós-tokenização/pré-painel. Ele não substitui</w:t>
      </w:r>
      <w:r>
        <w:t xml:space="preserve"> </w:t>
      </w:r>
      <w:r>
        <w:rPr>
          <w:rStyle w:val="VerbatimChar"/>
        </w:rPr>
        <w:t xml:space="preserve">registros_importados.csv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registros_corrig.csv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.</w:t>
      </w:r>
    </w:p>
    <w:p>
      <w:pPr>
        <w:pStyle w:val="BodyText"/>
      </w:pPr>
      <w:r>
        <w:t xml:space="preserve">Esse produto precisa ter identidade própria:</w:t>
      </w:r>
    </w:p>
    <w:p>
      <w:pPr>
        <w:pStyle w:val="Compact"/>
        <w:numPr>
          <w:ilvl w:val="0"/>
          <w:numId w:val="1003"/>
        </w:numPr>
      </w:pPr>
      <w:r>
        <w:t xml:space="preserve">Catálogo.</w:t>
      </w:r>
    </w:p>
    <w:p>
      <w:pPr>
        <w:pStyle w:val="Compact"/>
        <w:numPr>
          <w:ilvl w:val="0"/>
          <w:numId w:val="1003"/>
        </w:numPr>
      </w:pPr>
      <w:r>
        <w:t xml:space="preserve">Produtos centrais.</w:t>
      </w:r>
    </w:p>
    <w:p>
      <w:pPr>
        <w:pStyle w:val="Compact"/>
        <w:numPr>
          <w:ilvl w:val="0"/>
          <w:numId w:val="1003"/>
        </w:numPr>
      </w:pPr>
      <w:r>
        <w:t xml:space="preserve">Localização em</w:t>
      </w:r>
      <w:r>
        <w:t xml:space="preserve"> </w:t>
      </w:r>
      <w:r>
        <w:rPr>
          <w:rStyle w:val="VerbatimChar"/>
        </w:rPr>
        <w:t xml:space="preserve">output/01_produtos_dados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Índice.</w:t>
      </w:r>
    </w:p>
    <w:p>
      <w:pPr>
        <w:pStyle w:val="Compact"/>
        <w:numPr>
          <w:ilvl w:val="0"/>
          <w:numId w:val="1003"/>
        </w:numPr>
      </w:pPr>
      <w:r>
        <w:t xml:space="preserve">Auditoria final.</w:t>
      </w:r>
    </w:p>
    <w:p>
      <w:pPr>
        <w:pStyle w:val="Compact"/>
        <w:numPr>
          <w:ilvl w:val="0"/>
          <w:numId w:val="1003"/>
        </w:numPr>
      </w:pPr>
      <w:r>
        <w:t xml:space="preserve">README, manual e documentação de output.</w:t>
      </w:r>
    </w:p>
    <w:p>
      <w:pPr>
        <w:pStyle w:val="Compact"/>
        <w:numPr>
          <w:ilvl w:val="0"/>
          <w:numId w:val="1003"/>
        </w:numPr>
      </w:pPr>
      <w:r>
        <w:t xml:space="preserve">Linhagem.</w:t>
      </w:r>
    </w:p>
    <w:p>
      <w:pPr>
        <w:pStyle w:val="Compact"/>
        <w:numPr>
          <w:ilvl w:val="0"/>
          <w:numId w:val="1003"/>
        </w:numPr>
      </w:pPr>
      <w:r>
        <w:t xml:space="preserve">Comparação com</w:t>
      </w:r>
      <w:r>
        <w:t xml:space="preserve"> </w:t>
      </w:r>
      <w:r>
        <w:rPr>
          <w:rStyle w:val="VerbatimChar"/>
        </w:rPr>
        <w:t xml:space="preserve">registros_importados.csv</w:t>
      </w:r>
      <w:r>
        <w:t xml:space="preserve"> </w:t>
      </w:r>
      <w:r>
        <w:t xml:space="preserve">quando aplicável.</w:t>
      </w:r>
    </w:p>
    <w:bookmarkEnd w:id="16"/>
    <w:bookmarkStart w:id="17" w:name="semântica-híbrida-proibida"/>
    <w:p>
      <w:pPr>
        <w:pStyle w:val="Heading2"/>
      </w:pPr>
      <w:r>
        <w:t xml:space="preserve">8. Semântica híbrida proibida</w:t>
      </w:r>
    </w:p>
    <w:p>
      <w:pPr>
        <w:pStyle w:val="FirstParagraph"/>
      </w:pPr>
      <w:r>
        <w:t xml:space="preserve">Nenhum arquivo pode carregar duas semânticas.</w:t>
      </w:r>
    </w:p>
    <w:p>
      <w:pPr>
        <w:pStyle w:val="BodyText"/>
      </w:pPr>
      <w:r>
        <w:t xml:space="preserve">Se a camada muda, o nome muda.</w:t>
      </w:r>
    </w:p>
    <w:p>
      <w:pPr>
        <w:pStyle w:val="BodyText"/>
      </w:pPr>
      <w:r>
        <w:t xml:space="preserve">É proibido sobrescrever</w:t>
      </w:r>
      <w:r>
        <w:t xml:space="preserve"> </w:t>
      </w:r>
      <w:r>
        <w:rPr>
          <w:rStyle w:val="VerbatimChar"/>
        </w:rPr>
        <w:t xml:space="preserve">registros_importados.csv</w:t>
      </w:r>
      <w:r>
        <w:t xml:space="preserve"> </w:t>
      </w:r>
      <w:r>
        <w:t xml:space="preserve">com pós-tokenização.</w:t>
      </w:r>
    </w:p>
    <w:p>
      <w:pPr>
        <w:pStyle w:val="BodyText"/>
      </w:pPr>
      <w:r>
        <w:t xml:space="preserve">É proibido reconstruir</w:t>
      </w:r>
      <w:r>
        <w:t xml:space="preserve"> </w:t>
      </w:r>
      <w:r>
        <w:rPr>
          <w:rStyle w:val="VerbatimChar"/>
        </w:rPr>
        <w:t xml:space="preserve">registros_importados.csv</w:t>
      </w:r>
      <w:r>
        <w:t xml:space="preserve"> </w:t>
      </w:r>
      <w:r>
        <w:t xml:space="preserve">tardiamente a partir de</w:t>
      </w:r>
      <w:r>
        <w:t xml:space="preserve"> </w:t>
      </w:r>
      <w:r>
        <w:rPr>
          <w:rStyle w:val="VerbatimChar"/>
        </w:rPr>
        <w:t xml:space="preserve">registros_corrig.csv</w:t>
      </w:r>
      <w:r>
        <w:t xml:space="preserve">.</w:t>
      </w:r>
    </w:p>
    <w:p>
      <w:pPr>
        <w:pStyle w:val="BodyText"/>
      </w:pPr>
      <w:r>
        <w:t xml:space="preserve">É proibido criar produto novo invisível fora do catálogo, índice e auditoria.</w:t>
      </w:r>
    </w:p>
    <w:bookmarkEnd w:id="17"/>
    <w:bookmarkStart w:id="18" w:name="pré-validação-painel-e-diagnósticos"/>
    <w:p>
      <w:pPr>
        <w:pStyle w:val="Heading2"/>
      </w:pPr>
      <w:r>
        <w:t xml:space="preserve">9. Pré-validação, painel e diagnósticos</w:t>
      </w:r>
    </w:p>
    <w:p>
      <w:pPr>
        <w:pStyle w:val="FirstParagraph"/>
      </w:pPr>
      <w:r>
        <w:t xml:space="preserve">A pré-validação é obrigatória.</w:t>
      </w:r>
    </w:p>
    <w:p>
      <w:pPr>
        <w:pStyle w:val="BodyText"/>
      </w:pPr>
      <w:r>
        <w:t xml:space="preserve">O painel deve mostrar ocorrências, contagens, coletas, atributos, severidade, regra, origem, efeito e bloqueio de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.</w:t>
      </w:r>
    </w:p>
    <w:p>
      <w:pPr>
        <w:pStyle w:val="BodyText"/>
      </w:pPr>
      <w:r>
        <w:t xml:space="preserve">Pendências impeditivas sanadas tornam</w:t>
      </w:r>
      <w:r>
        <w:t xml:space="preserve"> </w:t>
      </w:r>
      <w:r>
        <w:rPr>
          <w:rStyle w:val="VerbatimChar"/>
        </w:rPr>
        <w:t xml:space="preserve">registros_corrig.csv</w:t>
      </w:r>
      <w:r>
        <w:t xml:space="preserve"> </w:t>
      </w:r>
      <w:r>
        <w:t xml:space="preserve">validável.</w:t>
      </w:r>
    </w:p>
    <w:p>
      <w:pPr>
        <w:pStyle w:val="BodyText"/>
      </w:pPr>
      <w:r>
        <w:t xml:space="preserve">Se pendências impeditivas persistirem,</w:t>
      </w:r>
      <w:r>
        <w:t xml:space="preserve"> </w:t>
      </w:r>
      <w:r>
        <w:rPr>
          <w:rStyle w:val="VerbatimChar"/>
        </w:rPr>
        <w:t xml:space="preserve">registros_corrig.csv</w:t>
      </w:r>
      <w:r>
        <w:t xml:space="preserve"> </w:t>
      </w:r>
      <w:r>
        <w:t xml:space="preserve">pode existir em correção, mas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 </w:t>
      </w:r>
      <w:r>
        <w:t xml:space="preserve">não pode ser criado como produto validado.</w:t>
      </w:r>
    </w:p>
    <w:bookmarkEnd w:id="18"/>
    <w:bookmarkStart w:id="19" w:name="pós-validaçãoexportação"/>
    <w:p>
      <w:pPr>
        <w:pStyle w:val="Heading2"/>
      </w:pPr>
      <w:r>
        <w:t xml:space="preserve">10. Pós-validação/exportação</w:t>
      </w:r>
    </w:p>
    <w:p>
      <w:pPr>
        <w:pStyle w:val="FirstParagraph"/>
      </w:pPr>
      <w:r>
        <w:t xml:space="preserve">A pós-validação usa</w:t>
      </w:r>
      <w:r>
        <w:t xml:space="preserve"> </w:t>
      </w:r>
      <w:r>
        <w:rPr>
          <w:rStyle w:val="VerbatimChar"/>
        </w:rPr>
        <w:t xml:space="preserve">perfil_pos_painel_corrig</w:t>
      </w:r>
      <w:r>
        <w:t xml:space="preserve">.</w:t>
      </w:r>
    </w:p>
    <w:p>
      <w:pPr>
        <w:pStyle w:val="BodyText"/>
      </w:pPr>
      <w:r>
        <w:t xml:space="preserve">Ela deve validar formatos, domínios, choices,</w:t>
      </w:r>
      <w:r>
        <w:t xml:space="preserve"> </w:t>
      </w:r>
      <w:r>
        <w:rPr>
          <w:rStyle w:val="VerbatimChar"/>
        </w:rPr>
        <w:t xml:space="preserve">select_one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select_multiple</w:t>
      </w:r>
      <w:r>
        <w:t xml:space="preserve">, obrigatórios, constraints, relevance, vínculos, cardinalidade, Encostam,</w:t>
      </w:r>
      <w:r>
        <w:t xml:space="preserve"> </w:t>
      </w:r>
      <w:r>
        <w:rPr>
          <w:rStyle w:val="VerbatimChar"/>
        </w:rPr>
        <w:t xml:space="preserve">solo_nu</w:t>
      </w:r>
      <w:r>
        <w:t xml:space="preserve">, metadados e estrutura SISMONITORA.</w:t>
      </w:r>
    </w:p>
    <w:p>
      <w:pPr>
        <w:pStyle w:val="BodyText"/>
      </w:pPr>
      <w:r>
        <w:t xml:space="preserve">A exportação usa o resultado da pós-validação e assertivas baratas, sem revalidação pesada.</w:t>
      </w:r>
    </w:p>
    <w:bookmarkEnd w:id="19"/>
    <w:bookmarkStart w:id="20" w:name="estatísticasgráficos"/>
    <w:p>
      <w:pPr>
        <w:pStyle w:val="Heading2"/>
      </w:pPr>
      <w:r>
        <w:t xml:space="preserve">11. Estatísticas/gráficos</w:t>
      </w:r>
    </w:p>
    <w:p>
      <w:pPr>
        <w:pStyle w:val="FirstParagraph"/>
      </w:pPr>
      <w:r>
        <w:rPr>
          <w:rStyle w:val="VerbatimChar"/>
        </w:rPr>
        <w:t xml:space="preserve">registros_validados.csv</w:t>
      </w:r>
      <w:r>
        <w:t xml:space="preserve">, quando criado, é a base preferencial para estatísticas e gráficos.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 </w:t>
      </w:r>
      <w:r>
        <w:t xml:space="preserve">não existir, o fluxo deve respeitar o status de validação e não tratar base pendente como validada.</w:t>
      </w:r>
    </w:p>
    <w:bookmarkEnd w:id="20"/>
    <w:bookmarkStart w:id="21" w:name="solo_nuencostam"/>
    <w:p>
      <w:pPr>
        <w:pStyle w:val="Heading2"/>
      </w:pPr>
      <w:r>
        <w:t xml:space="preserve">12. solo_nu/Encostam</w:t>
      </w:r>
    </w:p>
    <w:p>
      <w:pPr>
        <w:pStyle w:val="FirstParagraph"/>
      </w:pPr>
      <w:r>
        <w:rPr>
          <w:rStyle w:val="VerbatimChar"/>
        </w:rPr>
        <w:t xml:space="preserve">solo_nu</w:t>
      </w:r>
      <w:r>
        <w:t xml:space="preserve"> </w:t>
      </w:r>
      <w:r>
        <w:t xml:space="preserve">só é final.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solo_nu</w:t>
      </w:r>
      <w:r>
        <w:t xml:space="preserve"> </w:t>
      </w:r>
      <w:r>
        <w:t xml:space="preserve">coexistir com Encostam,</w:t>
      </w:r>
      <w:r>
        <w:t xml:space="preserve"> </w:t>
      </w:r>
      <w:r>
        <w:rPr>
          <w:rStyle w:val="VerbatimChar"/>
        </w:rPr>
        <w:t xml:space="preserve">solo_nu</w:t>
      </w:r>
      <w:r>
        <w:t xml:space="preserve"> </w:t>
      </w:r>
      <w:r>
        <w:t xml:space="preserve">deve ser removido.</w:t>
      </w:r>
    </w:p>
    <w:p>
      <w:pPr>
        <w:pStyle w:val="BodyText"/>
      </w:pPr>
      <w:r>
        <w:t xml:space="preserve">Se Encostam estiver vazio,</w:t>
      </w:r>
      <w:r>
        <w:t xml:space="preserve"> </w:t>
      </w:r>
      <w:r>
        <w:rPr>
          <w:rStyle w:val="VerbatimChar"/>
        </w:rPr>
        <w:t xml:space="preserve">solo_nu</w:t>
      </w:r>
      <w:r>
        <w:t xml:space="preserve"> </w:t>
      </w:r>
      <w:r>
        <w:t xml:space="preserve">pode ser inserido apenas na etapa adequada.</w:t>
      </w:r>
    </w:p>
    <w:p>
      <w:pPr>
        <w:pStyle w:val="BodyText"/>
      </w:pPr>
      <w:r>
        <w:t xml:space="preserve">A regra só pode atuar em pós-painel/sanitizações. Ela nunca deve atuar em bruto, importados ou pré-painel escondendo pendências.</w:t>
      </w:r>
    </w:p>
    <w:bookmarkEnd w:id="21"/>
    <w:bookmarkStart w:id="22" w:name="cardinalidadepipes"/>
    <w:p>
      <w:pPr>
        <w:pStyle w:val="Heading2"/>
      </w:pPr>
      <w:r>
        <w:t xml:space="preserve">13. Cardinalidade/pipes</w:t>
      </w:r>
    </w:p>
    <w:p>
      <w:pPr>
        <w:pStyle w:val="FirstParagraph"/>
      </w:pPr>
      <w:r>
        <w:t xml:space="preserve">As categorias operacionais de cardinalidade são: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texto_livre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estruturado_completo_por_ponto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estruturado_condicional_esparso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select_multiple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tecnico_midia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fora_do_contrato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ambiguo_indeterminado</w:t>
      </w:r>
      <w:r>
        <w:t xml:space="preserve">.</w:t>
      </w:r>
    </w:p>
    <w:p>
      <w:pPr>
        <w:pStyle w:val="FirstParagraph"/>
      </w:pPr>
      <w:r>
        <w:t xml:space="preserve">Texto livre preserva pipe.</w:t>
      </w:r>
    </w:p>
    <w:p>
      <w:pPr>
        <w:pStyle w:val="BodyText"/>
      </w:pPr>
      <w:r>
        <w:t xml:space="preserve">Estruturado completo resolve por ponto absoluto.</w:t>
      </w:r>
    </w:p>
    <w:p>
      <w:pPr>
        <w:pStyle w:val="BodyText"/>
      </w:pPr>
      <w:r>
        <w:t xml:space="preserve">Condicional/esparso resolve por elegibilidade e</w:t>
      </w:r>
      <w:r>
        <w:t xml:space="preserve"> </w:t>
      </w:r>
      <w:r>
        <w:rPr>
          <w:rStyle w:val="VerbatimChar"/>
        </w:rPr>
        <w:t xml:space="preserve">relevance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select_multiple</w:t>
      </w:r>
      <w:r>
        <w:t xml:space="preserve"> </w:t>
      </w:r>
      <w:r>
        <w:t xml:space="preserve">deve ser tratado como conjunto.</w:t>
      </w:r>
    </w:p>
    <w:p>
      <w:pPr>
        <w:pStyle w:val="BodyText"/>
      </w:pPr>
      <w:r>
        <w:t xml:space="preserve">Ambíguo não deve ser forçado.</w:t>
      </w:r>
    </w:p>
    <w:p>
      <w:pPr>
        <w:pStyle w:val="BodyText"/>
      </w:pPr>
      <w:r>
        <w:t xml:space="preserve">O caso bromélia prova que</w:t>
      </w:r>
      <w:r>
        <w:t xml:space="preserve"> </w:t>
      </w:r>
      <w:r>
        <w:rPr>
          <w:rStyle w:val="VerbatimChar"/>
        </w:rPr>
        <w:t xml:space="preserve">select_one</w:t>
      </w:r>
      <w:r>
        <w:t xml:space="preserve"> </w:t>
      </w:r>
      <w:r>
        <w:t xml:space="preserve">condicional/esparso não pode resolver por ponto absoluto.</w:t>
      </w:r>
    </w:p>
    <w:bookmarkEnd w:id="22"/>
    <w:bookmarkStart w:id="23" w:name="eaua"/>
    <w:p>
      <w:pPr>
        <w:pStyle w:val="Heading2"/>
      </w:pPr>
      <w:r>
        <w:t xml:space="preserve">14. ea/ua</w:t>
      </w:r>
    </w:p>
    <w:p>
      <w:pPr>
        <w:pStyle w:val="FirstParagraph"/>
      </w:pPr>
      <w:r>
        <w:t xml:space="preserve">O contrato deve registrar</w:t>
      </w:r>
      <w:r>
        <w:t xml:space="preserve"> </w:t>
      </w:r>
      <w:r>
        <w:rPr>
          <w:rStyle w:val="VerbatimChar"/>
        </w:rPr>
        <w:t xml:space="preserve">ea &lt;-&gt; estacao_amostral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ua &lt;-&gt; unidade_amostral</w:t>
      </w:r>
      <w:r>
        <w:t xml:space="preserve"> </w:t>
      </w:r>
      <w:r>
        <w:t xml:space="preserve">como requisito estrutural.</w:t>
      </w:r>
    </w:p>
    <w:p>
      <w:pPr>
        <w:pStyle w:val="BodyText"/>
      </w:pPr>
      <w:r>
        <w:t xml:space="preserve">Esses vínculos são parte da estrutura contratual e não devem depender de inferência tardia ou mapeamento paralelo.</w:t>
      </w:r>
    </w:p>
    <w:bookmarkEnd w:id="23"/>
    <w:bookmarkStart w:id="24" w:name="performance"/>
    <w:p>
      <w:pPr>
        <w:pStyle w:val="Heading2"/>
      </w:pPr>
      <w:r>
        <w:t xml:space="preserve">15. Performance</w:t>
      </w:r>
    </w:p>
    <w:p>
      <w:pPr>
        <w:pStyle w:val="FirstParagraph"/>
      </w:pPr>
      <w:r>
        <w:t xml:space="preserve">A implementação deve priorizar: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data.table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Atualização por referência.</w:t>
      </w:r>
    </w:p>
    <w:p>
      <w:pPr>
        <w:pStyle w:val="Compact"/>
        <w:numPr>
          <w:ilvl w:val="0"/>
          <w:numId w:val="1005"/>
        </w:numPr>
      </w:pPr>
      <w:r>
        <w:t xml:space="preserve">Ausência de loops linha a linha quando houver alternativa vetorizada.</w:t>
      </w:r>
    </w:p>
    <w:p>
      <w:pPr>
        <w:pStyle w:val="Compact"/>
        <w:numPr>
          <w:ilvl w:val="0"/>
          <w:numId w:val="1005"/>
        </w:numPr>
      </w:pPr>
      <w:r>
        <w:t xml:space="preserve">Ausência de recomputação global desnecessária.</w:t>
      </w:r>
    </w:p>
    <w:p>
      <w:pPr>
        <w:pStyle w:val="Compact"/>
        <w:numPr>
          <w:ilvl w:val="0"/>
          <w:numId w:val="1005"/>
        </w:numPr>
      </w:pPr>
      <w:r>
        <w:t xml:space="preserve">Ausência de fuzzy repetido.</w:t>
      </w:r>
    </w:p>
    <w:p>
      <w:pPr>
        <w:pStyle w:val="Compact"/>
        <w:numPr>
          <w:ilvl w:val="0"/>
          <w:numId w:val="1005"/>
        </w:numPr>
      </w:pPr>
      <w:r>
        <w:t xml:space="preserve">Ausência de parse externo em runtime.</w:t>
      </w:r>
    </w:p>
    <w:p>
      <w:pPr>
        <w:pStyle w:val="Compact"/>
        <w:numPr>
          <w:ilvl w:val="0"/>
          <w:numId w:val="1005"/>
        </w:numPr>
      </w:pPr>
      <w:r>
        <w:t xml:space="preserve">Derivação do contrato e dos índices uma única vez.</w:t>
      </w:r>
    </w:p>
    <w:p>
      <w:pPr>
        <w:pStyle w:val="Compact"/>
        <w:numPr>
          <w:ilvl w:val="0"/>
          <w:numId w:val="1005"/>
        </w:numPr>
      </w:pPr>
      <w:r>
        <w:t xml:space="preserve">Operação por blocos.</w:t>
      </w:r>
    </w:p>
    <w:p>
      <w:pPr>
        <w:pStyle w:val="Compact"/>
        <w:numPr>
          <w:ilvl w:val="0"/>
          <w:numId w:val="1005"/>
        </w:numPr>
      </w:pPr>
      <w:r>
        <w:t xml:space="preserve">Registro de tempo quando houver risco.</w:t>
      </w:r>
    </w:p>
    <w:p>
      <w:pPr>
        <w:pStyle w:val="FirstParagraph"/>
      </w:pPr>
      <w:r>
        <w:t xml:space="preserve">Qualquer alteração com risco de piora de performance deve ser auditada antes de aprovação.</w:t>
      </w:r>
    </w:p>
    <w:bookmarkEnd w:id="24"/>
    <w:bookmarkStart w:id="25" w:name="índicescaches"/>
    <w:p>
      <w:pPr>
        <w:pStyle w:val="Heading2"/>
      </w:pPr>
      <w:r>
        <w:t xml:space="preserve">16. Índices/caches</w:t>
      </w:r>
    </w:p>
    <w:p>
      <w:pPr>
        <w:pStyle w:val="FirstParagraph"/>
      </w:pPr>
      <w:r>
        <w:t xml:space="preserve">Índices e caches devem ser sempre derivados da fonte única.</w:t>
      </w:r>
    </w:p>
    <w:p>
      <w:pPr>
        <w:pStyle w:val="BodyText"/>
      </w:pPr>
      <w:r>
        <w:t xml:space="preserve">Devem existir índices/caches por:</w:t>
      </w:r>
    </w:p>
    <w:p>
      <w:pPr>
        <w:pStyle w:val="Compact"/>
        <w:numPr>
          <w:ilvl w:val="0"/>
          <w:numId w:val="1006"/>
        </w:numPr>
      </w:pPr>
      <w:r>
        <w:t xml:space="preserve">Path.</w:t>
      </w:r>
    </w:p>
    <w:p>
      <w:pPr>
        <w:pStyle w:val="Compact"/>
        <w:numPr>
          <w:ilvl w:val="0"/>
          <w:numId w:val="1006"/>
        </w:numPr>
      </w:pPr>
      <w:r>
        <w:t xml:space="preserve">Name.</w:t>
      </w:r>
    </w:p>
    <w:p>
      <w:pPr>
        <w:pStyle w:val="Compact"/>
        <w:numPr>
          <w:ilvl w:val="0"/>
          <w:numId w:val="1006"/>
        </w:numPr>
      </w:pPr>
      <w:r>
        <w:t xml:space="preserve">Label normalizado.</w:t>
      </w:r>
    </w:p>
    <w:p>
      <w:pPr>
        <w:pStyle w:val="Compact"/>
        <w:numPr>
          <w:ilvl w:val="0"/>
          <w:numId w:val="1006"/>
        </w:numPr>
      </w:pPr>
      <w:r>
        <w:t xml:space="preserve">Atributo canônico.</w:t>
      </w:r>
    </w:p>
    <w:p>
      <w:pPr>
        <w:pStyle w:val="Compact"/>
        <w:numPr>
          <w:ilvl w:val="0"/>
          <w:numId w:val="1006"/>
        </w:numPr>
      </w:pPr>
      <w:r>
        <w:t xml:space="preserve">Relevance e campo pai.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list_name</w:t>
      </w:r>
      <w:r>
        <w:t xml:space="preserve"> </w:t>
      </w:r>
      <w:r>
        <w:t xml:space="preserve">e choices.</w:t>
      </w:r>
    </w:p>
    <w:p>
      <w:pPr>
        <w:pStyle w:val="Compact"/>
        <w:numPr>
          <w:ilvl w:val="0"/>
          <w:numId w:val="1006"/>
        </w:numPr>
      </w:pPr>
      <w:r>
        <w:t xml:space="preserve">Aliases.</w:t>
      </w:r>
    </w:p>
    <w:p>
      <w:pPr>
        <w:pStyle w:val="Compact"/>
        <w:numPr>
          <w:ilvl w:val="0"/>
          <w:numId w:val="1006"/>
        </w:numPr>
      </w:pPr>
      <w:r>
        <w:t xml:space="preserve">Estágio.</w:t>
      </w:r>
    </w:p>
    <w:p>
      <w:pPr>
        <w:pStyle w:val="Compact"/>
        <w:numPr>
          <w:ilvl w:val="0"/>
          <w:numId w:val="1006"/>
        </w:numPr>
      </w:pPr>
      <w:r>
        <w:t xml:space="preserve">Severidade.</w:t>
      </w:r>
    </w:p>
    <w:p>
      <w:pPr>
        <w:pStyle w:val="Compact"/>
        <w:numPr>
          <w:ilvl w:val="0"/>
          <w:numId w:val="1006"/>
        </w:numPr>
      </w:pPr>
      <w:r>
        <w:t xml:space="preserve">Cardinalidade.</w:t>
      </w:r>
    </w:p>
    <w:p>
      <w:pPr>
        <w:pStyle w:val="FirstParagraph"/>
      </w:pPr>
      <w:r>
        <w:t xml:space="preserve">Nenhum índice ou cache pode virar fonte concorrente.</w:t>
      </w:r>
    </w:p>
    <w:bookmarkEnd w:id="25"/>
    <w:bookmarkStart w:id="26" w:name="auditorialinhagem"/>
    <w:p>
      <w:pPr>
        <w:pStyle w:val="Heading2"/>
      </w:pPr>
      <w:r>
        <w:t xml:space="preserve">17. Auditoria/linhagem</w:t>
      </w:r>
    </w:p>
    <w:p>
      <w:pPr>
        <w:pStyle w:val="FirstParagraph"/>
      </w:pPr>
      <w:r>
        <w:t xml:space="preserve">Auditorias não sobrescrevem histórico.</w:t>
      </w:r>
    </w:p>
    <w:p>
      <w:pPr>
        <w:pStyle w:val="BodyText"/>
      </w:pPr>
      <w:r>
        <w:rPr>
          <w:rStyle w:val="VerbatimChar"/>
        </w:rPr>
        <w:t xml:space="preserve">auditoria_registros_importados_resumo.csv</w:t>
      </w:r>
      <w:r>
        <w:t xml:space="preserve"> </w:t>
      </w:r>
      <w:r>
        <w:t xml:space="preserve">não pode apagar camada anterior.</w:t>
      </w:r>
    </w:p>
    <w:p>
      <w:pPr>
        <w:pStyle w:val="BodyText"/>
      </w:pPr>
      <w:r>
        <w:t xml:space="preserve">O projeto pode aceitar resumo acumulativo ou por produto, camada e contexto, desde que a linhagem permaneça rastreável.</w:t>
      </w:r>
    </w:p>
    <w:p>
      <w:pPr>
        <w:pStyle w:val="BodyText"/>
      </w:pPr>
      <w:r>
        <w:t xml:space="preserve">Auditorias devem registrar origem, destino, objeto fonte, transformação, produto, timestamp e status de contrato.</w:t>
      </w:r>
    </w:p>
    <w:bookmarkEnd w:id="26"/>
    <w:bookmarkStart w:id="27" w:name="testes"/>
    <w:p>
      <w:pPr>
        <w:pStyle w:val="Heading2"/>
      </w:pPr>
      <w:r>
        <w:t xml:space="preserve">18. Testes</w:t>
      </w:r>
    </w:p>
    <w:p>
      <w:pPr>
        <w:pStyle w:val="FirstParagraph"/>
      </w:pPr>
      <w:r>
        <w:t xml:space="preserve">Os testes devem ser proporcionais ao risco:</w:t>
      </w:r>
    </w:p>
    <w:p>
      <w:pPr>
        <w:pStyle w:val="Compact"/>
        <w:numPr>
          <w:ilvl w:val="0"/>
          <w:numId w:val="1007"/>
        </w:numPr>
      </w:pPr>
      <w:r>
        <w:t xml:space="preserve">03.5I: sem dataset real.</w:t>
      </w:r>
    </w:p>
    <w:p>
      <w:pPr>
        <w:pStyle w:val="Compact"/>
        <w:numPr>
          <w:ilvl w:val="0"/>
          <w:numId w:val="1007"/>
        </w:numPr>
      </w:pPr>
      <w:r>
        <w:t xml:space="preserve">03.5J: sem dataset real.</w:t>
      </w:r>
    </w:p>
    <w:p>
      <w:pPr>
        <w:pStyle w:val="Compact"/>
        <w:numPr>
          <w:ilvl w:val="0"/>
          <w:numId w:val="1007"/>
        </w:numPr>
      </w:pPr>
      <w:r>
        <w:t xml:space="preserve">03.5K: um dataset representativo diagnóstico.</w:t>
      </w:r>
    </w:p>
    <w:p>
      <w:pPr>
        <w:pStyle w:val="Compact"/>
        <w:numPr>
          <w:ilvl w:val="0"/>
          <w:numId w:val="1007"/>
        </w:numPr>
      </w:pPr>
      <w:r>
        <w:t xml:space="preserve">03.5L: PNB golden + FNCS + dataset médio até importados.</w:t>
      </w:r>
    </w:p>
    <w:p>
      <w:pPr>
        <w:pStyle w:val="Compact"/>
        <w:numPr>
          <w:ilvl w:val="0"/>
          <w:numId w:val="1007"/>
        </w:numPr>
      </w:pPr>
      <w:r>
        <w:t xml:space="preserve">03.5M: FNCS + sintético pipes.</w:t>
      </w:r>
    </w:p>
    <w:p>
      <w:pPr>
        <w:pStyle w:val="Compact"/>
        <w:numPr>
          <w:ilvl w:val="0"/>
          <w:numId w:val="1007"/>
        </w:numPr>
      </w:pPr>
      <w:r>
        <w:t xml:space="preserve">03.5N: PNB + FNCS + painel.</w:t>
      </w:r>
    </w:p>
    <w:p>
      <w:pPr>
        <w:pStyle w:val="FirstParagraph"/>
      </w:pPr>
      <w:r>
        <w:t xml:space="preserve">H2R/H2R-C exige auditoria estática, teste leve/parse quando seguro e run representativa antes de aprovar.</w:t>
      </w:r>
    </w:p>
    <w:p>
      <w:pPr>
        <w:pStyle w:val="BodyText"/>
      </w:pPr>
      <w:r>
        <w:t xml:space="preserve">Testes longos, uso de dados reais, pipeline PNB/FNCS e execuções pesadas exigem autorização explícita quando não estiverem no escopo da tarefa.</w:t>
      </w:r>
    </w:p>
    <w:bookmarkEnd w:id="27"/>
    <w:bookmarkStart w:id="28" w:name="critérios-de-parada"/>
    <w:p>
      <w:pPr>
        <w:pStyle w:val="Heading2"/>
      </w:pPr>
      <w:r>
        <w:t xml:space="preserve">19. Critérios de parada</w:t>
      </w:r>
    </w:p>
    <w:p>
      <w:pPr>
        <w:pStyle w:val="FirstParagraph"/>
      </w:pPr>
      <w:r>
        <w:t xml:space="preserve">A execução deve parar diante de:</w:t>
      </w:r>
    </w:p>
    <w:p>
      <w:pPr>
        <w:pStyle w:val="Compact"/>
        <w:numPr>
          <w:ilvl w:val="0"/>
          <w:numId w:val="1008"/>
        </w:numPr>
      </w:pPr>
      <w:r>
        <w:t xml:space="preserve">Violação de premissa.</w:t>
      </w:r>
    </w:p>
    <w:p>
      <w:pPr>
        <w:pStyle w:val="Compact"/>
        <w:numPr>
          <w:ilvl w:val="0"/>
          <w:numId w:val="1008"/>
        </w:numPr>
      </w:pPr>
      <w:r>
        <w:t xml:space="preserve">Dado real sem autorização.</w:t>
      </w:r>
    </w:p>
    <w:p>
      <w:pPr>
        <w:pStyle w:val="Compact"/>
        <w:numPr>
          <w:ilvl w:val="0"/>
          <w:numId w:val="1008"/>
        </w:numPr>
      </w:pPr>
      <w:r>
        <w:t xml:space="preserve">Teste longo fora do combinado.</w:t>
      </w:r>
    </w:p>
    <w:p>
      <w:pPr>
        <w:pStyle w:val="Compact"/>
        <w:numPr>
          <w:ilvl w:val="0"/>
          <w:numId w:val="1008"/>
        </w:numPr>
      </w:pPr>
      <w:r>
        <w:t xml:space="preserve">Alteração não explicada em schema ou contagens.</w:t>
      </w:r>
    </w:p>
    <w:p>
      <w:pPr>
        <w:pStyle w:val="Compact"/>
        <w:numPr>
          <w:ilvl w:val="0"/>
          <w:numId w:val="1008"/>
        </w:numPr>
      </w:pPr>
      <w:r>
        <w:t xml:space="preserve">Novo pipe residual.</w:t>
      </w:r>
    </w:p>
    <w:p>
      <w:pPr>
        <w:pStyle w:val="Compact"/>
        <w:numPr>
          <w:ilvl w:val="0"/>
          <w:numId w:val="1008"/>
        </w:numPr>
      </w:pPr>
      <w:r>
        <w:t xml:space="preserve">Regressão Encostam,</w:t>
      </w:r>
      <w:r>
        <w:t xml:space="preserve"> </w:t>
      </w:r>
      <w:r>
        <w:rPr>
          <w:rStyle w:val="VerbatimChar"/>
        </w:rPr>
        <w:t xml:space="preserve">solo_nu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Piora de performance.</w:t>
      </w:r>
    </w:p>
    <w:p>
      <w:pPr>
        <w:pStyle w:val="Compact"/>
        <w:numPr>
          <w:ilvl w:val="0"/>
          <w:numId w:val="1008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log/</w:t>
      </w:r>
      <w:r>
        <w:t xml:space="preserve"> </w:t>
      </w:r>
      <w:r>
        <w:t xml:space="preserve">como entrada.</w:t>
      </w:r>
    </w:p>
    <w:p>
      <w:pPr>
        <w:pStyle w:val="Compact"/>
        <w:numPr>
          <w:ilvl w:val="0"/>
          <w:numId w:val="1008"/>
        </w:numPr>
      </w:pPr>
      <w:r>
        <w:t xml:space="preserve">Risco de versionar dado real.</w:t>
      </w:r>
    </w:p>
    <w:p>
      <w:pPr>
        <w:pStyle w:val="Compact"/>
        <w:numPr>
          <w:ilvl w:val="0"/>
          <w:numId w:val="1008"/>
        </w:numPr>
      </w:pPr>
      <w:r>
        <w:t xml:space="preserve">Push não autorizado.</w:t>
      </w:r>
    </w:p>
    <w:p>
      <w:pPr>
        <w:pStyle w:val="Compact"/>
        <w:numPr>
          <w:ilvl w:val="0"/>
          <w:numId w:val="1008"/>
        </w:numPr>
      </w:pPr>
      <w:r>
        <w:t xml:space="preserve">Semântica híbrida.</w:t>
      </w:r>
    </w:p>
    <w:p>
      <w:pPr>
        <w:pStyle w:val="Compact"/>
        <w:numPr>
          <w:ilvl w:val="0"/>
          <w:numId w:val="1008"/>
        </w:numPr>
      </w:pPr>
      <w:r>
        <w:t xml:space="preserve">Auditoria sobrescrita.</w:t>
      </w:r>
    </w:p>
    <w:p>
      <w:pPr>
        <w:pStyle w:val="Compact"/>
        <w:numPr>
          <w:ilvl w:val="0"/>
          <w:numId w:val="1008"/>
        </w:numPr>
      </w:pPr>
      <w:r>
        <w:t xml:space="preserve">Produto invisível.</w:t>
      </w:r>
    </w:p>
    <w:p>
      <w:pPr>
        <w:pStyle w:val="Compact"/>
        <w:numPr>
          <w:ilvl w:val="0"/>
          <w:numId w:val="1008"/>
        </w:numPr>
      </w:pPr>
      <w:r>
        <w:t xml:space="preserve">Reconstrução tardia.</w:t>
      </w:r>
    </w:p>
    <w:p>
      <w:pPr>
        <w:pStyle w:val="Compact"/>
        <w:numPr>
          <w:ilvl w:val="0"/>
          <w:numId w:val="1008"/>
        </w:numPr>
      </w:pPr>
      <w:r>
        <w:t xml:space="preserve">Fonte ou lista paralela.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registros_corrig</w:t>
      </w:r>
      <w:r>
        <w:t xml:space="preserve"> </w:t>
      </w:r>
      <w:r>
        <w:t xml:space="preserve">tratado como final.</w:t>
      </w:r>
    </w:p>
    <w:bookmarkEnd w:id="28"/>
    <w:bookmarkStart w:id="29" w:name="segurança-de-dadosgit"/>
    <w:p>
      <w:pPr>
        <w:pStyle w:val="Heading2"/>
      </w:pPr>
      <w:r>
        <w:t xml:space="preserve">20. Segurança de dados/Git</w:t>
      </w:r>
    </w:p>
    <w:p>
      <w:pPr>
        <w:pStyle w:val="FirstParagraph"/>
      </w:pPr>
      <w:r>
        <w:t xml:space="preserve">Não versionar dados reais ou pessoais.</w:t>
      </w:r>
    </w:p>
    <w:p>
      <w:pPr>
        <w:pStyle w:val="BodyText"/>
      </w:pPr>
      <w:r>
        <w:t xml:space="preserve">Não commitar CSV, ZIP, XLSX, XLS, ODS, RDS, RDA, SQLITE, DB, GPKG, SHP, GEOJSON, KML ou KMZ com dados reais.</w:t>
      </w:r>
    </w:p>
    <w:p>
      <w:pPr>
        <w:pStyle w:val="BodyText"/>
      </w:pPr>
      <w:r>
        <w:t xml:space="preserve">Usar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seletivo.</w:t>
      </w:r>
    </w:p>
    <w:p>
      <w:pPr>
        <w:pStyle w:val="BodyText"/>
      </w:pPr>
      <w:r>
        <w:t xml:space="preserve">Nunca usar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.</w:t>
      </w:r>
    </w:p>
    <w:p>
      <w:pPr>
        <w:pStyle w:val="BodyText"/>
      </w:pPr>
      <w:r>
        <w:t xml:space="preserve">Checar extensões staged antes de commit.</w:t>
      </w:r>
    </w:p>
    <w:p>
      <w:pPr>
        <w:pStyle w:val="BodyText"/>
      </w:pPr>
      <w:r>
        <w:t xml:space="preserve">Relatórios podem conter nomes, paths, tipos, contagens, decisões, status e critérios. Relatórios nunca devem conter amostras reais sensíveis.</w:t>
      </w:r>
    </w:p>
    <w:bookmarkEnd w:id="29"/>
    <w:bookmarkStart w:id="30" w:name="plano-incremental"/>
    <w:p>
      <w:pPr>
        <w:pStyle w:val="Heading2"/>
      </w:pPr>
      <w:r>
        <w:t xml:space="preserve">21. Plano incremental</w:t>
      </w:r>
    </w:p>
    <w:p>
      <w:pPr>
        <w:pStyle w:val="FirstParagraph"/>
      </w:pPr>
      <w:r>
        <w:t xml:space="preserve">03.5I: criar fonte única embutida sem pipeline.</w:t>
      </w:r>
    </w:p>
    <w:p>
      <w:pPr>
        <w:pStyle w:val="BodyText"/>
      </w:pPr>
      <w:r>
        <w:t xml:space="preserve">03.5J: criar índices e caches.</w:t>
      </w:r>
    </w:p>
    <w:p>
      <w:pPr>
        <w:pStyle w:val="BodyText"/>
      </w:pPr>
      <w:r>
        <w:t xml:space="preserve">03.5K: criar mapa observado -&gt; canônico diagnóstico.</w:t>
      </w:r>
    </w:p>
    <w:p>
      <w:pPr>
        <w:pStyle w:val="BodyText"/>
      </w:pPr>
      <w:r>
        <w:t xml:space="preserve">03.5L: consolidar</w:t>
      </w:r>
      <w:r>
        <w:t xml:space="preserve"> </w:t>
      </w:r>
      <w:r>
        <w:rPr>
          <w:rStyle w:val="VerbatimChar"/>
        </w:rPr>
        <w:t xml:space="preserve">registros_importados.csv</w:t>
      </w:r>
      <w:r>
        <w:t xml:space="preserve">.</w:t>
      </w:r>
    </w:p>
    <w:p>
      <w:pPr>
        <w:pStyle w:val="BodyText"/>
      </w:pPr>
      <w:r>
        <w:t xml:space="preserve">03.5M: implementar resolvedor de pipes por</w:t>
      </w:r>
      <w:r>
        <w:t xml:space="preserve"> </w:t>
      </w:r>
      <w:r>
        <w:rPr>
          <w:rStyle w:val="VerbatimChar"/>
        </w:rPr>
        <w:t xml:space="preserve">relevance</w:t>
      </w:r>
      <w:r>
        <w:t xml:space="preserve"> </w:t>
      </w:r>
      <w:r>
        <w:t xml:space="preserve">e cardinalidade.</w:t>
      </w:r>
    </w:p>
    <w:p>
      <w:pPr>
        <w:pStyle w:val="BodyText"/>
      </w:pPr>
      <w:r>
        <w:t xml:space="preserve">03.5N: migrar painel,</w:t>
      </w:r>
      <w:r>
        <w:t xml:space="preserve"> </w:t>
      </w:r>
      <w:r>
        <w:rPr>
          <w:rStyle w:val="VerbatimChar"/>
        </w:rPr>
        <w:t xml:space="preserve">registros_validados.csv</w:t>
      </w:r>
      <w:r>
        <w:t xml:space="preserve"> </w:t>
      </w:r>
      <w:r>
        <w:t xml:space="preserve">e relatórios.</w:t>
      </w:r>
    </w:p>
    <w:bookmarkEnd w:id="30"/>
    <w:bookmarkStart w:id="31" w:name="critérios-de-aceitação"/>
    <w:p>
      <w:pPr>
        <w:pStyle w:val="Heading2"/>
      </w:pPr>
      <w:r>
        <w:t xml:space="preserve">22. Critérios de aceitação</w:t>
      </w:r>
    </w:p>
    <w:p>
      <w:pPr>
        <w:pStyle w:val="FirstParagraph"/>
      </w:pPr>
      <w:r>
        <w:t xml:space="preserve">O fluxo é aceitável quando:</w:t>
      </w:r>
    </w:p>
    <w:p>
      <w:pPr>
        <w:pStyle w:val="Compact"/>
        <w:numPr>
          <w:ilvl w:val="0"/>
          <w:numId w:val="1009"/>
        </w:numPr>
      </w:pPr>
      <w:r>
        <w:t xml:space="preserve">Bruto permanece fiel.</w:t>
      </w:r>
    </w:p>
    <w:p>
      <w:pPr>
        <w:pStyle w:val="Compact"/>
        <w:numPr>
          <w:ilvl w:val="0"/>
          <w:numId w:val="1009"/>
        </w:numPr>
      </w:pPr>
      <w:r>
        <w:t xml:space="preserve">Importado é canônico e comparável.</w:t>
      </w:r>
    </w:p>
    <w:p>
      <w:pPr>
        <w:pStyle w:val="Compact"/>
        <w:numPr>
          <w:ilvl w:val="0"/>
          <w:numId w:val="1009"/>
        </w:numPr>
      </w:pPr>
      <w:r>
        <w:t xml:space="preserve">Operacional pré-painel é governado.</w:t>
      </w:r>
    </w:p>
    <w:p>
      <w:pPr>
        <w:pStyle w:val="Compact"/>
        <w:numPr>
          <w:ilvl w:val="0"/>
          <w:numId w:val="1009"/>
        </w:numPr>
      </w:pPr>
      <w:r>
        <w:t xml:space="preserve">Históricos convergem para canônicos 2025.</w:t>
      </w:r>
    </w:p>
    <w:p>
      <w:pPr>
        <w:pStyle w:val="Compact"/>
        <w:numPr>
          <w:ilvl w:val="0"/>
          <w:numId w:val="1009"/>
        </w:numPr>
      </w:pPr>
      <w:r>
        <w:t xml:space="preserve">Textuais preservam pipes.</w:t>
      </w:r>
    </w:p>
    <w:p>
      <w:pPr>
        <w:pStyle w:val="Compact"/>
        <w:numPr>
          <w:ilvl w:val="0"/>
          <w:numId w:val="1009"/>
        </w:numPr>
      </w:pPr>
      <w:r>
        <w:t xml:space="preserve">Estruturados respeitam cardinalidade correta.</w:t>
      </w:r>
    </w:p>
    <w:p>
      <w:pPr>
        <w:pStyle w:val="Compact"/>
        <w:numPr>
          <w:ilvl w:val="0"/>
          <w:numId w:val="1009"/>
        </w:numPr>
      </w:pPr>
      <w:r>
        <w:t xml:space="preserve">Condicionais seguem</w:t>
      </w:r>
      <w:r>
        <w:t xml:space="preserve"> </w:t>
      </w:r>
      <w:r>
        <w:rPr>
          <w:rStyle w:val="VerbatimChar"/>
        </w:rPr>
        <w:t xml:space="preserve">relevance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Ambíguos não são forçados.</w:t>
      </w:r>
    </w:p>
    <w:p>
      <w:pPr>
        <w:pStyle w:val="Compact"/>
        <w:numPr>
          <w:ilvl w:val="0"/>
          <w:numId w:val="1009"/>
        </w:numPr>
      </w:pPr>
      <w:r>
        <w:t xml:space="preserve">Pendências chegam ao painel.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solo_nu</w:t>
      </w:r>
      <w:r>
        <w:t xml:space="preserve"> </w:t>
      </w:r>
      <w:r>
        <w:t xml:space="preserve">atua só pós-painel.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registros_corrig.csv</w:t>
      </w:r>
      <w:r>
        <w:t xml:space="preserve"> </w:t>
      </w:r>
      <w:r>
        <w:t xml:space="preserve">é validável.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registros_validados.csv</w:t>
      </w:r>
      <w:r>
        <w:t xml:space="preserve"> </w:t>
      </w:r>
      <w:r>
        <w:t xml:space="preserve">é fiel.</w:t>
      </w:r>
    </w:p>
    <w:p>
      <w:pPr>
        <w:pStyle w:val="Compact"/>
        <w:numPr>
          <w:ilvl w:val="0"/>
          <w:numId w:val="1009"/>
        </w:numPr>
      </w:pPr>
      <w:r>
        <w:t xml:space="preserve">Não há revalidação pesada na exportação.</w:t>
      </w:r>
    </w:p>
    <w:p>
      <w:pPr>
        <w:pStyle w:val="Compact"/>
        <w:numPr>
          <w:ilvl w:val="0"/>
          <w:numId w:val="1009"/>
        </w:numPr>
      </w:pPr>
      <w:r>
        <w:t xml:space="preserve">Performance é preservada.</w:t>
      </w:r>
    </w:p>
    <w:p>
      <w:pPr>
        <w:pStyle w:val="Compact"/>
        <w:numPr>
          <w:ilvl w:val="0"/>
          <w:numId w:val="1009"/>
        </w:numPr>
      </w:pPr>
      <w:r>
        <w:t xml:space="preserve">PNB/FNCS não regridem.</w:t>
      </w:r>
    </w:p>
    <w:p>
      <w:pPr>
        <w:pStyle w:val="Compact"/>
        <w:numPr>
          <w:ilvl w:val="0"/>
          <w:numId w:val="1009"/>
        </w:numPr>
      </w:pPr>
      <w:r>
        <w:t xml:space="preserve">Auditorias rastreiam decisões.</w:t>
      </w:r>
    </w:p>
    <w:bookmarkEnd w:id="31"/>
    <w:bookmarkStart w:id="32" w:name="regras-claudecodex"/>
    <w:p>
      <w:pPr>
        <w:pStyle w:val="Heading2"/>
      </w:pPr>
      <w:r>
        <w:t xml:space="preserve">23. Regras Claude/Codex</w:t>
      </w:r>
    </w:p>
    <w:p>
      <w:pPr>
        <w:pStyle w:val="FirstParagraph"/>
      </w:pPr>
      <w:r>
        <w:t xml:space="preserve">Prompts devem começar com CHECKLIST DO AGENTE.</w:t>
      </w:r>
    </w:p>
    <w:p>
      <w:pPr>
        <w:pStyle w:val="BodyText"/>
      </w:pPr>
      <w:r>
        <w:t xml:space="preserve">O agente deve economizar execução, priorizar auditoria de código, implementação cirúrgica, testes sintéticos pequenos e relatório.</w:t>
      </w:r>
    </w:p>
    <w:p>
      <w:pPr>
        <w:pStyle w:val="BodyText"/>
      </w:pPr>
      <w:r>
        <w:t xml:space="preserve">O agente não deve rodar testes longos nem usar dados reais sem autorização.</w:t>
      </w:r>
    </w:p>
    <w:p>
      <w:pPr>
        <w:pStyle w:val="BodyText"/>
      </w:pPr>
      <w:r>
        <w:t xml:space="preserve">O agente não deve ampliar escopo.</w:t>
      </w:r>
    </w:p>
    <w:p>
      <w:pPr>
        <w:pStyle w:val="BodyText"/>
      </w:pPr>
      <w:r>
        <w:t xml:space="preserve">O agente não deve criar fonte paralela.</w:t>
      </w:r>
    </w:p>
    <w:p>
      <w:pPr>
        <w:pStyle w:val="BodyText"/>
      </w:pPr>
      <w:r>
        <w:t xml:space="preserve">O agente não deve criar hard-codes fora da fonte única.</w:t>
      </w:r>
    </w:p>
    <w:p>
      <w:pPr>
        <w:pStyle w:val="BodyText"/>
      </w:pPr>
      <w:r>
        <w:t xml:space="preserve">Auditoria não vira refatoração.</w:t>
      </w:r>
    </w:p>
    <w:p>
      <w:pPr>
        <w:pStyle w:val="BodyText"/>
      </w:pPr>
      <w:r>
        <w:t xml:space="preserve">Sem push.</w:t>
      </w:r>
    </w:p>
    <w:p>
      <w:pPr>
        <w:pStyle w:val="BodyText"/>
      </w:pPr>
      <w:r>
        <w:t xml:space="preserve">Sem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.</w:t>
      </w:r>
    </w:p>
    <w:p>
      <w:pPr>
        <w:pStyle w:val="BodyText"/>
      </w:pPr>
      <w:r>
        <w:t xml:space="preserve">Sempre executar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quando aplicável.</w:t>
      </w:r>
    </w:p>
    <w:p>
      <w:pPr>
        <w:pStyle w:val="BodyText"/>
      </w:pPr>
      <w:r>
        <w:t xml:space="preserve">Confirmar commit/push antes de qualquer operação dessa natureza.</w:t>
      </w:r>
    </w:p>
    <w:p>
      <w:pPr>
        <w:pStyle w:val="BodyText"/>
      </w:pPr>
      <w:r>
        <w:t xml:space="preserve">Relatórios devem ficar em</w:t>
      </w:r>
      <w:r>
        <w:t xml:space="preserve"> </w:t>
      </w:r>
      <w:r>
        <w:rPr>
          <w:rStyle w:val="VerbatimChar"/>
        </w:rPr>
        <w:t xml:space="preserve">diagnostics/</w:t>
      </w:r>
      <w:r>
        <w:t xml:space="preserve">.</w:t>
      </w:r>
    </w:p>
    <w:bookmarkEnd w:id="32"/>
    <w:bookmarkStart w:id="33" w:name="regra-final"/>
    <w:p>
      <w:pPr>
        <w:pStyle w:val="Heading2"/>
      </w:pPr>
      <w:r>
        <w:t xml:space="preserve">24. Regra final</w:t>
      </w:r>
    </w:p>
    <w:p>
      <w:pPr>
        <w:pStyle w:val="FirstParagraph"/>
      </w:pPr>
      <w:r>
        <w:t xml:space="preserve">Este documento é base para todo desenvolvimento futuro.</w:t>
      </w:r>
    </w:p>
    <w:p>
      <w:pPr>
        <w:pStyle w:val="BodyText"/>
      </w:pPr>
      <w:r>
        <w:t xml:space="preserve">Toda tarefa deve declarar conformidade com este contrato e parar se exigir violação.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2026-07-04T14:58:25Z</dcterms:created>
  <dcterms:modified xsi:type="dcterms:W3CDTF">2026-07-04T14:58:25Z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