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4.png" ContentType="image/png"/>
  <Override PartName="/word/media/image12.png" ContentType="image/png"/>
  <Override PartName="/word/media/image5.png" ContentType="image/png"/>
  <Override PartName="/word/media/image13.png" ContentType="image/png"/>
  <Override PartName="/word/media/image6.png" ContentType="image/png"/>
  <Override PartName="/word/media/image14.png" ContentType="image/png"/>
  <Override PartName="/word/media/image7.png" ContentType="image/png"/>
  <Override PartName="/word/media/image15.png" ContentType="image/png"/>
  <Override PartName="/word/media/image8.png" ContentType="image/png"/>
  <Override PartName="/word/media/image16.png" ContentType="image/png"/>
  <Override PartName="/word/media/image17.png" ContentType="image/png"/>
  <Override PartName="/word/media/image9.png" ContentType="image/png"/>
  <Override PartName="/word/media/image3.png" ContentType="image/png"/>
  <Override PartName="/word/media/image11.png" ContentType="image/png"/>
  <Override PartName="/word/media/image18.png" ContentType="image/png"/>
  <Override PartName="/word/media/image20.png" ContentType="image/png"/>
  <Override PartName="/word/media/image10.png" ContentType="image/png"/>
  <Override PartName="/word/media/image2.png" ContentType="image/png"/>
  <Override PartName="/word/media/image21.png" ContentType="image/png"/>
  <Override PartName="/word/media/image19.png" ContentType="image/png"/>
  <Override PartName="/word/media/image22.png" ContentType="image/png"/>
  <Override PartName="/word/media/image23.png" ContentType="image/png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240" w:after="240"/>
        <w:ind w:right="-42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>
      <w:pPr>
        <w:pStyle w:val="Normal"/>
        <w:spacing w:before="120" w:after="0"/>
        <w:ind w:right="-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shd w:val="clear" w:color="auto" w:fill="FFFFFF"/>
        <w:spacing w:before="240" w:after="240"/>
        <w:ind w:right="-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Факультет инфокоммуникационных технологий</w:t>
      </w:r>
    </w:p>
    <w:p>
      <w:pPr>
        <w:pStyle w:val="Normal"/>
        <w:shd w:val="clear" w:color="auto" w:fill="FFFFFF"/>
        <w:spacing w:before="240" w:after="240"/>
        <w:ind w:right="-42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shd w:val="clear" w:color="auto" w:fill="FFFFFF"/>
        <w:spacing w:before="240" w:after="240"/>
        <w:ind w:right="-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Основы кибербезопасности</w:t>
      </w:r>
    </w:p>
    <w:p>
      <w:pPr>
        <w:pStyle w:val="Normal"/>
        <w:spacing w:before="240" w:after="0"/>
        <w:ind w:right="-42"/>
        <w:jc w:val="center"/>
        <w:rPr>
          <w:b/>
          <w:color w:val="2D2D2C"/>
          <w:sz w:val="101"/>
          <w:szCs w:val="101"/>
        </w:rPr>
      </w:pPr>
      <w:r>
        <w:rPr>
          <w:sz w:val="28"/>
          <w:szCs w:val="28"/>
        </w:rPr>
        <w:t>Практическая работа №3</w:t>
      </w:r>
      <w:r>
        <w:rPr>
          <w:b/>
          <w:sz w:val="28"/>
          <w:szCs w:val="28"/>
        </w:rPr>
        <w:br/>
      </w:r>
    </w:p>
    <w:p>
      <w:pPr>
        <w:pStyle w:val="Normal"/>
        <w:spacing w:before="240" w:after="0"/>
        <w:ind w:left="-1701" w:right="-847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shd w:val="clear" w:color="auto" w:fill="FFFFFF"/>
        <w:spacing w:before="240" w:after="240"/>
        <w:ind w:left="-1701" w:right="-4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/>
      </w:pPr>
      <w:r>
        <w:rPr>
          <w:b/>
          <w:sz w:val="28"/>
          <w:szCs w:val="28"/>
        </w:rPr>
        <w:t>Выполнил</w:t>
      </w:r>
      <w:r>
        <w:rPr>
          <w:sz w:val="28"/>
          <w:szCs w:val="28"/>
        </w:rPr>
        <w:t>: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/>
      </w:pPr>
      <w:r>
        <w:rPr>
          <w:sz w:val="28"/>
          <w:szCs w:val="28"/>
        </w:rPr>
        <w:t>студент группы K34211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/>
      </w:pPr>
      <w:r>
        <w:rPr>
          <w:sz w:val="28"/>
          <w:szCs w:val="28"/>
        </w:rPr>
        <w:t>Швалов Даниил Андреевич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/>
      </w:pPr>
      <w:r>
        <w:rPr>
          <w:b/>
          <w:sz w:val="28"/>
          <w:szCs w:val="28"/>
        </w:rPr>
        <w:t>Проверил</w:t>
      </w:r>
      <w:r>
        <w:rPr>
          <w:sz w:val="28"/>
          <w:szCs w:val="28"/>
        </w:rPr>
        <w:t>: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/>
      </w:pPr>
      <w:r>
        <w:rPr>
          <w:sz w:val="28"/>
          <w:szCs w:val="28"/>
        </w:rPr>
        <w:t xml:space="preserve">преподаватель практики, КТН 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240" w:after="240"/>
        <w:ind w:hanging="0" w:left="-1709" w:right="0"/>
        <w:jc w:val="right"/>
        <w:rPr/>
      </w:pPr>
      <w:r>
        <w:rPr>
          <w:sz w:val="28"/>
          <w:szCs w:val="28"/>
        </w:rPr>
        <w:t>Назаров Михаил Сергеевич</w:t>
      </w:r>
    </w:p>
    <w:p>
      <w:pPr>
        <w:pStyle w:val="Normal"/>
        <w:ind w:left="-1701" w:right="570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ind w:left="-1701" w:right="-847"/>
        <w:rPr/>
      </w:pPr>
      <w:r>
        <w:rPr/>
      </w:r>
    </w:p>
    <w:p>
      <w:pPr>
        <w:pStyle w:val="Normal"/>
        <w:spacing w:before="240" w:after="240"/>
        <w:ind w:right="-42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>
      <w:pPr>
        <w:pStyle w:val="Normal"/>
        <w:spacing w:before="240" w:after="240"/>
        <w:ind w:right="-42"/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>
      <w:pPr>
        <w:pStyle w:val="Heading1"/>
        <w:rPr/>
      </w:pPr>
      <w:bookmarkStart w:id="0" w:name="__RefHeading___Toc6438_2741830133"/>
      <w:bookmarkStart w:id="1" w:name="_Toc179827396"/>
      <w:bookmarkStart w:id="2" w:name="_Toc179827328"/>
      <w:bookmarkEnd w:id="0"/>
      <w:r>
        <w:rPr/>
        <w:t>Оглавление</w:t>
      </w:r>
      <w:bookmarkEnd w:id="1"/>
      <w:bookmarkEnd w:id="2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9025" w:leader="dot"/>
            </w:tabs>
            <w:rPr/>
          </w:pPr>
          <w:r>
            <w:fldChar w:fldCharType="begin"/>
          </w:r>
          <w:r>
            <w:rPr>
              <w:rStyle w:val="IndexLink"/>
              <w:sz w:val="28"/>
              <w:i w:val="false"/>
              <w:u w:val="none"/>
              <w:b w:val="false"/>
              <w:szCs w:val="28"/>
              <w:iCs w:val="false"/>
              <w:bCs w:val="false"/>
              <w:rFonts w:ascii="Times New Roman" w:hAnsi="Times New Roman"/>
            </w:rPr>
            <w:instrText xml:space="preserve"> TOC \o "1-3" \h</w:instrText>
          </w:r>
          <w:r>
            <w:rPr>
              <w:rStyle w:val="IndexLink"/>
              <w:sz w:val="28"/>
              <w:i w:val="false"/>
              <w:u w:val="none"/>
              <w:b w:val="false"/>
              <w:szCs w:val="28"/>
              <w:iCs w:val="false"/>
              <w:bCs w:val="false"/>
              <w:rFonts w:ascii="Times New Roman" w:hAnsi="Times New Roman"/>
            </w:rPr>
            <w:fldChar w:fldCharType="separate"/>
          </w:r>
          <w:hyperlink w:anchor="__RefHeading___Toc6440_2741830133">
            <w:r>
              <w:rPr>
                <w:rStyle w:val="IndexLink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Введение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025" w:leader="dot"/>
            </w:tabs>
            <w:rPr/>
          </w:pPr>
          <w:hyperlink w:anchor="__RefHeading___Toc6442_2741830133">
            <w:r>
              <w:rPr>
                <w:rStyle w:val="IndexLink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Содержание отчета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9025" w:leader="dot"/>
            </w:tabs>
            <w:rPr/>
          </w:pPr>
          <w:hyperlink w:anchor="__RefHeading___Toc6444_2741830133">
            <w:r>
              <w:rPr>
                <w:rStyle w:val="IndexLink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1. Установка и проверка корректности работы Docker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9025" w:leader="dot"/>
            </w:tabs>
            <w:rPr/>
          </w:pPr>
          <w:hyperlink w:anchor="__RefHeading___Toc6444_2741830133_Copy_1">
            <w:r>
              <w:rPr>
                <w:rStyle w:val="IndexLink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2. Создание лаборатории для тестирования и поиска уязвимостей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9025" w:leader="dot"/>
            </w:tabs>
            <w:rPr/>
          </w:pPr>
          <w:hyperlink w:anchor="__RefHeading___Toc6444_2741830133_Copy_2">
            <w:r>
              <w:rPr>
                <w:rStyle w:val="IndexLink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3. Работа со сканером уязвимости OpenVAS</w:t>
              <w:tab/>
              <w:t>9</w:t>
            </w:r>
          </w:hyperlink>
        </w:p>
        <w:p>
          <w:pPr>
            <w:pStyle w:val="TOC1"/>
            <w:tabs>
              <w:tab w:val="clear" w:pos="720"/>
              <w:tab w:val="right" w:pos="9025" w:leader="dot"/>
            </w:tabs>
            <w:rPr/>
          </w:pPr>
          <w:hyperlink w:anchor="__RefHeading___Toc7412_875968271">
            <w:r>
              <w:rPr>
                <w:rStyle w:val="IndexLink"/>
                <w:rFonts w:ascii="Times New Roman" w:hAnsi="Times New Roman"/>
                <w:b w:val="false"/>
                <w:bCs w:val="false"/>
                <w:i w:val="false"/>
                <w:iCs w:val="false"/>
                <w:sz w:val="28"/>
                <w:szCs w:val="28"/>
                <w:u w:val="none"/>
              </w:rPr>
              <w:t>Вывод по работе</w:t>
              <w:tab/>
              <w:t>14</w:t>
            </w:r>
          </w:hyperlink>
          <w:r>
            <w:rPr>
              <w:rStyle w:val="IndexLink"/>
              <w:sz w:val="28"/>
              <w:i w:val="false"/>
              <w:u w:val="none"/>
              <w:b w:val="false"/>
              <w:szCs w:val="28"/>
              <w:iCs w:val="false"/>
              <w:bCs w:val="false"/>
              <w:rFonts w:ascii="Times New Roman" w:hAnsi="Times New Roman"/>
            </w:rPr>
            <w:fldChar w:fldCharType="end"/>
          </w:r>
        </w:p>
      </w:sdtContent>
    </w:sdt>
    <w:p>
      <w:pPr>
        <w:pStyle w:val="Normal"/>
        <w:spacing w:lineRule="auto" w:line="360"/>
        <w:rPr/>
      </w:pPr>
      <w:r>
        <w:rPr/>
      </w:r>
    </w:p>
    <w:p>
      <w:pPr>
        <w:pStyle w:val="BodyText"/>
        <w:spacing w:lineRule="auto" w:line="360"/>
        <w:ind w:firstLine="709" w:right="-42"/>
        <w:jc w:val="both"/>
        <w:rPr>
          <w:b/>
          <w:bCs/>
          <w:spacing w:val="-4"/>
        </w:rPr>
      </w:pPr>
      <w:r>
        <w:rPr>
          <w:b/>
          <w:bCs/>
          <w:spacing w:val="-4"/>
        </w:rPr>
      </w:r>
    </w:p>
    <w:p>
      <w:pPr>
        <w:pStyle w:val="Normal"/>
        <w:rPr>
          <w:b/>
          <w:bCs/>
          <w:spacing w:val="-4"/>
          <w:sz w:val="28"/>
          <w:szCs w:val="28"/>
        </w:rPr>
      </w:pPr>
      <w:r>
        <w:rPr>
          <w:b/>
          <w:bCs/>
          <w:spacing w:val="-4"/>
          <w:sz w:val="28"/>
          <w:szCs w:val="28"/>
        </w:rPr>
      </w:r>
      <w:r>
        <w:br w:type="page"/>
      </w:r>
    </w:p>
    <w:p>
      <w:pPr>
        <w:pStyle w:val="Heading1"/>
        <w:spacing w:before="0" w:after="280"/>
        <w:rPr/>
      </w:pPr>
      <w:bookmarkStart w:id="3" w:name="__RefHeading___Toc6440_2741830133"/>
      <w:bookmarkStart w:id="4" w:name="_Toc179827397"/>
      <w:bookmarkStart w:id="5" w:name="_Toc179827329"/>
      <w:bookmarkEnd w:id="3"/>
      <w:r>
        <w:rPr/>
        <w:t>Введение</w:t>
      </w:r>
      <w:bookmarkEnd w:id="4"/>
      <w:bookmarkEnd w:id="5"/>
    </w:p>
    <w:p>
      <w:pPr>
        <w:pStyle w:val="BodyText"/>
        <w:spacing w:lineRule="auto" w:line="360"/>
        <w:ind w:firstLine="709"/>
        <w:jc w:val="both"/>
        <w:rPr>
          <w:spacing w:val="-4"/>
        </w:rPr>
      </w:pPr>
      <w:r>
        <w:rPr>
          <w:b/>
          <w:bCs/>
          <w:spacing w:val="-4"/>
        </w:rPr>
        <w:t>Цель работы</w:t>
      </w:r>
      <w:r>
        <w:rPr>
          <w:b w:val="false"/>
          <w:bCs w:val="false"/>
          <w:spacing w:val="-4"/>
        </w:rPr>
        <w:t>. Изучить типовой алгоритм работы с инструментами обнаружения уязвимостей информационных систем. Приобрести практические навыки по использованию сканера уязвимости. Научиться идентифицировать уязвимости информационной̆ системы.</w:t>
      </w:r>
      <w:r>
        <w:br w:type="page"/>
      </w:r>
    </w:p>
    <w:p>
      <w:pPr>
        <w:pStyle w:val="Heading1"/>
        <w:spacing w:before="0" w:after="280"/>
        <w:rPr/>
      </w:pPr>
      <w:bookmarkStart w:id="6" w:name="__RefHeading___Toc6442_2741830133"/>
      <w:bookmarkStart w:id="7" w:name="_Toc179827398"/>
      <w:bookmarkStart w:id="8" w:name="_Toc179827330"/>
      <w:bookmarkEnd w:id="6"/>
      <w:r>
        <w:rPr/>
        <w:t>Содержание отчета</w:t>
      </w:r>
      <w:bookmarkEnd w:id="7"/>
      <w:bookmarkEnd w:id="8"/>
    </w:p>
    <w:p>
      <w:pPr>
        <w:pStyle w:val="Heading2"/>
        <w:numPr>
          <w:ilvl w:val="0"/>
          <w:numId w:val="1"/>
        </w:numPr>
        <w:ind w:firstLine="709" w:left="0"/>
        <w:rPr/>
      </w:pPr>
      <w:bookmarkStart w:id="9" w:name="__RefHeading___Toc6444_2741830133"/>
      <w:bookmarkEnd w:id="9"/>
      <w:r>
        <w:rPr/>
        <w:t>Установка и проверка корректности работы Docker</w:t>
      </w:r>
    </w:p>
    <w:p>
      <w:pPr>
        <w:pStyle w:val="BodyText"/>
        <w:rPr/>
      </w:pPr>
      <w:r>
        <w:rPr/>
        <w:t>Для данной практической работы на компьютер был установлен Docker. Для проверки корректности его работы был загружен и запущен контейнер на основе образа «hello-world». После запуска контейнера в стандартный вывод было распечатано сообщение «Hello from Docker!», а также другая дополнительная информация. Это видно на рисунке 1.</w:t>
      </w:r>
    </w:p>
    <w:p>
      <w:pPr>
        <w:pStyle w:val="BodyText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spacing w:val="-4"/>
        </w:rPr>
      </w:pPr>
      <w:r>
        <w:rPr/>
        <w:drawing>
          <wp:inline distT="0" distB="0" distL="0" distR="0">
            <wp:extent cx="5731510" cy="44164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pacing w:val="-4"/>
        </w:rPr>
        <w:t>Рисунок 1 — Запуск контейнера «hello-world»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spacing w:val="-4"/>
        </w:rPr>
      </w:pPr>
      <w:r>
        <w:rPr>
          <w:spacing w:val="-4"/>
        </w:rPr>
      </w:r>
    </w:p>
    <w:p>
      <w:pPr>
        <w:pStyle w:val="BodyText"/>
        <w:rPr/>
      </w:pPr>
      <w:r>
        <w:rPr/>
        <w:t>После этого был загружен и запущен контейнер на основе образа «nginx», при этом был включен проброс 80 порта. Затем в браузере была открыта страница по адресу «localhost». На ней была отображена приветственная страница Nginx. Это продемонстрировано на рисунках 2-3.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spacing w:val="-4"/>
        </w:rPr>
      </w:pPr>
      <w:r>
        <w:rPr/>
        <w:drawing>
          <wp:inline distT="0" distB="0" distL="0" distR="0">
            <wp:extent cx="5731510" cy="397510"/>
            <wp:effectExtent l="0" t="0" r="0" b="0"/>
            <wp:docPr id="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0" w:name="image-1"/>
      <w:r>
        <w:rPr/>
        <w:t>Рисунок 2 — Запуск контейнер</w:t>
      </w:r>
      <w:bookmarkEnd w:id="10"/>
      <w:r>
        <w:rPr/>
        <w:t>а «nginx»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spacing w:val="-4"/>
        </w:rPr>
      </w:pPr>
      <w:r>
        <w:rPr>
          <w:spacing w:val="-4"/>
        </w:rPr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>
          <w:spacing w:val="-4"/>
        </w:rPr>
      </w:pPr>
      <w:r>
        <w:rPr/>
        <w:drawing>
          <wp:inline distT="0" distB="0" distL="0" distR="0">
            <wp:extent cx="5731510" cy="164401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3 — Страница Nginx в браузере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Для отображения запущенных контейнеров была использована команда «docker container ls». В выводе команды был отображен контейнер «nginx», запущенный ранее. Это видно на рисунке 4.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33845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>Рисунок 4 — Информация о запущенных контейнерах</w:t>
      </w:r>
    </w:p>
    <w:p>
      <w:pPr>
        <w:pStyle w:val="BodyText"/>
        <w:rPr/>
      </w:pPr>
      <w:r>
        <w:rPr/>
      </w:r>
    </w:p>
    <w:p>
      <w:pPr>
        <w:pStyle w:val="Heading2"/>
        <w:numPr>
          <w:ilvl w:val="0"/>
          <w:numId w:val="1"/>
        </w:numPr>
        <w:ind w:firstLine="709" w:left="0"/>
        <w:rPr/>
      </w:pPr>
      <w:bookmarkStart w:id="11" w:name="__RefHeading___Toc6444_2741830133_Copy_1"/>
      <w:bookmarkEnd w:id="11"/>
      <w:r>
        <w:rPr/>
        <w:t>Создание лаборатории для тестирования и поиска уязвимостей</w:t>
      </w:r>
    </w:p>
    <w:p>
      <w:pPr>
        <w:pStyle w:val="BodyText"/>
        <w:rPr/>
      </w:pPr>
      <w:r>
        <w:rPr/>
        <w:t>Для тестирования и поиска уязвимостей были загружены образы «tleemcjr/metasploitable2» и «kalilinux/kali-rolling». Первый образ представляет собой уязвимый сервер, а второй образ — контейнер с инструментами, используемыми для тестирования на проникновения. Эти образы были загружены с помощью команды «docker pull». Процесс загрузки ранее перечисленных образов показан на рисунках 5-6.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285105" cy="314706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14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5 — Загрузка образов «metasploitable2» и «kali-rolling»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103251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>Рисунок 6 — Информация о загруженных образах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Затем была создана сеть «pentest» для контейнеров с помощью команды «docker network create». Это продемонстрировано на рисунке 7.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39052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7 — Создание сети для контейнеров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После этого были запущены контейнеры на ранее загруженных образах. В качестве имени контейнеров были выбраны имена «metasploitable2» для образа «tleemcjr/metasploitable2» и «kalibox» для образа «kalilinux/kali-rolling». Это видно на рисунках 8-9.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06745" cy="287274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8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8 — Запуск контейнера «metasploitable2»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49339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9 — Запуск контейнера «kalibox»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Затем была протестирована связь между контейнерами «metasploitable2» и «kalibox» по сети. Для этого была установлена утилита ifconfig. С ее помощью был получен IP-адрес контейнера «kalibox» (т. е. 172.18.0.3). После этого на контейнере «metasploitable2» с помощью утилиты ping были отправлены ICMP-запросы по адресу 172.18.0.3, т. е. по адресу контейнера «kalibox». После совершения запросов удалось получить ICMP-ответы. Таким образом, было установлено, что существует возможность передавать данные между контейнерами «kalibox» и «metasploitable2» по сети. Данный процесс показан на рисунках 10-11.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4010025" cy="221742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10 — Информация о сетевых интерфейсах на контейнере «kalibox»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3470910" cy="1752600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11 — Проверка доступности контейнера «kalibox» из контейнера «metasploitable2»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После этого на контейнере «metasploitable2» была настроена учетная запись «user». Для нее был установлен пароль, а также она была добавлена в группу «sudo». Это видно на рисунке 12.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3265805" cy="132905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12 — Настройка учетной записи «user»</w:t>
      </w:r>
    </w:p>
    <w:p>
      <w:pPr>
        <w:pStyle w:val="BodyText"/>
        <w:rPr/>
      </w:pPr>
      <w:r>
        <w:rPr/>
        <w:t>Затем контейнер «kalibox» был перезапущен с пробросом порта 9392. Для этого использовался флаг «--publish». Это показано на рисунке 13.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40449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13 — Настройка портов контейнера «kalibox»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После этого был загружен образ «mikesplain/openvas», а на его основе был запущен контейнер «openvas» с проброшенным портом 443. Это видно на рисунке 14.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187833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14 — Запуск контейнера «openvas»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Heading2"/>
        <w:numPr>
          <w:ilvl w:val="0"/>
          <w:numId w:val="1"/>
        </w:numPr>
        <w:ind w:firstLine="709" w:left="0"/>
        <w:rPr/>
      </w:pPr>
      <w:bookmarkStart w:id="12" w:name="__RefHeading___Toc6444_2741830133_Copy_2"/>
      <w:bookmarkEnd w:id="12"/>
      <w:r>
        <w:rPr/>
        <w:t>Работа со сканером уязвимости OpenVAS</w:t>
      </w:r>
    </w:p>
    <w:p>
      <w:pPr>
        <w:pStyle w:val="BodyText"/>
        <w:rPr/>
      </w:pPr>
      <w:r>
        <w:rPr/>
        <w:t>Для обнаружения уязвимостей использовался сканер уязвимости OpenVAS. Как было показано выше, был запущен контейнер «openvas» с проброшенным портом 443. Благодаря этому, при открытии страницы по адресу «https://localhost» в браузере отображается страница входа в OpenVAS. После ввода логина и пароля администратора был получен доступ в OpenVAS. Страница входа показана на рисунке 15.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313055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15 — Страница входа в веб-интерфейсе OpenVAS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После этого была заведена учетная запись для проведения локальных проверок. Для этого в разделе «Configuration — Credentials» была создана новая запись «user» с учетными данными с контейнера «metasploitable2». После создания учетной записи она появилась в списке « Credentials» Этот процесс показан на рисунках 16-17.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1818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16 — Создание учетной записи в OpenVAS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178879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17 — Созданная учетная запись «user»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Затем была цель в разделе «Configuration – Target». Она необходима для указания диапазона адресов для сканирования и для определения набора портов, которые будет проверять OpenVAS. В качестве имени цели было указано имя «ITMO_metasplot2», в качестве адреса — адрес «172.18.0.2». Также был настроен список портов в соответствии с заданием. После создания цели она появилась в списке «Targets». Это видно на рисунках 18-19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149850" cy="344360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44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18 — Создание цели в OpenVAS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4290060" cy="206819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068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19 — Созданная цель «ITMO_metasploit2»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После этого в разделе «Scan — Task» была создана задача с именем «SHVALOV_K34211». В ней была указана ранее созданная цель «ITMO_metasplot2». После создания задачи она появилась в списке «Tasks». Это показано на рисунках 20-21.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013325" cy="417449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417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20 — Создание задачи в OpenVAS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867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21 — Созданная задача «SHVALOV_K34211»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rPr/>
      </w:pPr>
      <w:r>
        <w:rPr/>
        <w:t>После завершения выполнения задачи был сформирован отчёт. В результатах отчёта видно, что сканируемая система содержит большое количество уязвимостей, в том числе критичных. Это продемонстрировано на рисунках 22-23.</w:t>
      </w:r>
    </w:p>
    <w:p>
      <w:pPr>
        <w:pStyle w:val="BodyText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08470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22 — Сформированный отчёт после выполнения задачи</w:t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drawing>
          <wp:inline distT="0" distB="0" distL="0" distR="0">
            <wp:extent cx="5731510" cy="269557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widowControl w:val="false"/>
        <w:suppressAutoHyphens w:val="true"/>
        <w:bidi w:val="0"/>
        <w:spacing w:lineRule="auto" w:line="360" w:before="0" w:after="0"/>
        <w:ind w:hanging="0" w:left="0" w:right="0"/>
        <w:jc w:val="center"/>
        <w:rPr/>
      </w:pPr>
      <w:r>
        <w:rPr/>
        <w:t>Рисунок 23 — Содержимое отчёта после выполнения задачи</w:t>
      </w:r>
    </w:p>
    <w:p>
      <w:pPr>
        <w:pStyle w:val="Heading1"/>
        <w:spacing w:before="0" w:after="280"/>
        <w:rPr/>
      </w:pPr>
      <w:bookmarkStart w:id="13" w:name="__RefHeading___Toc7412_875968271"/>
      <w:bookmarkStart w:id="14" w:name="_Toc179827405"/>
      <w:bookmarkStart w:id="15" w:name="_Toc179827332"/>
      <w:bookmarkEnd w:id="13"/>
      <w:r>
        <w:rPr/>
        <w:t>Вывод по работе</w:t>
      </w:r>
      <w:bookmarkEnd w:id="14"/>
      <w:bookmarkEnd w:id="15"/>
    </w:p>
    <w:p>
      <w:pPr>
        <w:pStyle w:val="BodyText"/>
        <w:spacing w:lineRule="auto" w:line="360"/>
        <w:ind w:firstLine="709"/>
        <w:jc w:val="both"/>
        <w:rPr>
          <w:spacing w:val="-4"/>
        </w:rPr>
      </w:pPr>
      <w:r>
        <w:rPr>
          <w:spacing w:val="-4"/>
        </w:rPr>
        <w:t>В результате выполнения данной практической работы был изучен</w:t>
      </w:r>
      <w:r>
        <w:rPr>
          <w:b w:val="false"/>
          <w:bCs w:val="false"/>
          <w:spacing w:val="-4"/>
        </w:rPr>
        <w:t xml:space="preserve"> типовой алгоритм работы с инструментами обнаружения уязвимостей информационных систем, приобретены практические навыки по использованию сканера уязвимости и идентификации уязвимости информационной̆ системы.</w:t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29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29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789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49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49" w:hanging="144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09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69" w:hanging="21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TableParagraph"/>
    <w:next w:val="Normal"/>
    <w:link w:val="1"/>
    <w:uiPriority w:val="9"/>
    <w:qFormat/>
    <w:rsid w:val="00b661ea"/>
    <w:pPr>
      <w:spacing w:before="280" w:after="28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BodyText"/>
    <w:next w:val="Normal"/>
    <w:link w:val="2"/>
    <w:uiPriority w:val="9"/>
    <w:unhideWhenUsed/>
    <w:qFormat/>
    <w:rsid w:val="00b661ea"/>
    <w:pPr>
      <w:numPr>
        <w:ilvl w:val="0"/>
        <w:numId w:val="1"/>
      </w:numPr>
      <w:spacing w:lineRule="auto" w:line="360"/>
      <w:ind w:firstLine="709" w:left="0"/>
      <w:jc w:val="both"/>
      <w:outlineLvl w:val="1"/>
    </w:pPr>
    <w:rPr>
      <w:b/>
      <w:bCs/>
      <w:spacing w:val="-4"/>
    </w:rPr>
  </w:style>
  <w:style w:type="paragraph" w:styleId="Heading3">
    <w:name w:val="heading 3"/>
    <w:basedOn w:val="BodyText"/>
    <w:next w:val="Normal"/>
    <w:link w:val="3"/>
    <w:uiPriority w:val="9"/>
    <w:unhideWhenUsed/>
    <w:qFormat/>
    <w:rsid w:val="00b661ea"/>
    <w:pPr>
      <w:numPr>
        <w:ilvl w:val="1"/>
        <w:numId w:val="1"/>
      </w:numPr>
      <w:spacing w:lineRule="auto" w:line="360"/>
      <w:ind w:firstLine="709" w:left="0"/>
      <w:jc w:val="both"/>
      <w:outlineLvl w:val="2"/>
    </w:pPr>
    <w:rPr>
      <w:b/>
      <w:bCs/>
      <w:spacing w:val="-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Основной текст Знак"/>
    <w:basedOn w:val="DefaultParagraphFont"/>
    <w:uiPriority w:val="1"/>
    <w:qFormat/>
    <w:rsid w:val="006003b2"/>
    <w:rPr>
      <w:rFonts w:ascii="Times New Roman" w:hAnsi="Times New Roman" w:eastAsia="Times New Roman" w:cs="Times New Roman"/>
      <w:sz w:val="28"/>
      <w:szCs w:val="28"/>
      <w:lang w:val="ru-RU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b661ea"/>
    <w:rPr>
      <w:rFonts w:ascii="Times New Roman" w:hAnsi="Times New Roman" w:eastAsia="Times New Roman" w:cs="Times New Roman"/>
      <w:b/>
      <w:bCs/>
      <w:sz w:val="28"/>
      <w:szCs w:val="28"/>
      <w:lang w:val="ru-RU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b661ea"/>
    <w:rPr>
      <w:rFonts w:ascii="Times New Roman" w:hAnsi="Times New Roman" w:eastAsia="Times New Roman" w:cs="Times New Roman"/>
      <w:b/>
      <w:bCs/>
      <w:spacing w:val="-4"/>
      <w:sz w:val="28"/>
      <w:szCs w:val="28"/>
      <w:lang w:val="ru-RU"/>
    </w:rPr>
  </w:style>
  <w:style w:type="character" w:styleId="Style12" w:customStyle="1">
    <w:name w:val="Верхний колонтитул Знак"/>
    <w:basedOn w:val="DefaultParagraphFont"/>
    <w:link w:val="Header"/>
    <w:uiPriority w:val="99"/>
    <w:qFormat/>
    <w:rsid w:val="00b661ea"/>
    <w:rPr>
      <w:rFonts w:ascii="Times New Roman" w:hAnsi="Times New Roman" w:eastAsia="Times New Roman" w:cs="Times New Roman"/>
      <w:lang w:val="ru-RU"/>
    </w:rPr>
  </w:style>
  <w:style w:type="character" w:styleId="Style13" w:customStyle="1">
    <w:name w:val="Нижний колонтитул Знак"/>
    <w:basedOn w:val="DefaultParagraphFont"/>
    <w:link w:val="Footer"/>
    <w:uiPriority w:val="99"/>
    <w:qFormat/>
    <w:rsid w:val="00b661ea"/>
    <w:rPr>
      <w:rFonts w:ascii="Times New Roman" w:hAnsi="Times New Roman" w:eastAsia="Times New Roman" w:cs="Times New Roman"/>
      <w:lang w:val="ru-RU"/>
    </w:rPr>
  </w:style>
  <w:style w:type="character" w:styleId="Hyperlink">
    <w:name w:val="Hyperlink"/>
    <w:basedOn w:val="DefaultParagraphFont"/>
    <w:uiPriority w:val="99"/>
    <w:unhideWhenUsed/>
    <w:rsid w:val="00b661ea"/>
    <w:rPr>
      <w:color w:themeColor="hyperlink" w:val="0000FF"/>
      <w:u w:val="single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b661ea"/>
    <w:rPr>
      <w:rFonts w:ascii="Times New Roman" w:hAnsi="Times New Roman" w:eastAsia="Times New Roman" w:cs="Times New Roman"/>
      <w:b/>
      <w:bCs/>
      <w:spacing w:val="-4"/>
      <w:sz w:val="28"/>
      <w:szCs w:val="28"/>
      <w:lang w:val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b661ea"/>
    <w:rPr>
      <w:color w:themeColor="followedHyperlink" w:val="800080"/>
      <w:u w:val="single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link w:val="Style11"/>
    <w:uiPriority w:val="1"/>
    <w:qFormat/>
    <w:pPr>
      <w:spacing w:lineRule="auto" w:line="360"/>
      <w:ind w:firstLine="709"/>
      <w:jc w:val="both"/>
    </w:pPr>
    <w:rPr>
      <w:sz w:val="28"/>
      <w:szCs w:val="28"/>
    </w:rPr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Normal"/>
    <w:uiPriority w:val="10"/>
    <w:qFormat/>
    <w:pPr>
      <w:ind w:left="374" w:right="1025"/>
      <w:jc w:val="center"/>
    </w:pPr>
    <w:rPr>
      <w:b/>
      <w:bCs/>
      <w:sz w:val="41"/>
      <w:szCs w:val="41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52a84"/>
    <w:pPr>
      <w:widowControl/>
      <w:spacing w:lineRule="auto" w:line="276" w:before="480" w:after="280"/>
      <w:outlineLvl w:val="9"/>
    </w:pPr>
    <w:rPr>
      <w:b w:val="false"/>
      <w:bCs w:val="false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52a84"/>
    <w:pPr>
      <w:spacing w:before="120" w:after="0"/>
    </w:pPr>
    <w:rPr>
      <w:rFonts w:ascii="Times New Roman" w:hAnsi="Times New Roman" w:cs="Calibri" w:cstheme="minorHAns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152a84"/>
    <w:pPr>
      <w:spacing w:before="120" w:after="0"/>
      <w:ind w:left="220"/>
    </w:pPr>
    <w:rPr>
      <w:rFonts w:ascii="Calibri" w:hAnsi="Calibri" w:cs="Calibri" w:asciiTheme="minorHAnsi" w:cs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52a84"/>
    <w:pPr>
      <w:ind w:left="44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52a84"/>
    <w:pPr>
      <w:ind w:left="66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52a84"/>
    <w:pPr>
      <w:ind w:left="88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52a84"/>
    <w:pPr>
      <w:ind w:left="110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52a84"/>
    <w:pPr>
      <w:ind w:left="132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52a84"/>
    <w:pPr>
      <w:ind w:left="154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52a84"/>
    <w:pPr>
      <w:ind w:left="176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b661ea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3"/>
    <w:uiPriority w:val="99"/>
    <w:unhideWhenUsed/>
    <w:rsid w:val="00b661ea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BlockQuotation">
    <w:name w:val="Block Quotation"/>
    <w:basedOn w:val="Normal"/>
    <w:qFormat/>
    <w:pPr>
      <w:spacing w:before="0" w:after="283"/>
      <w:ind w:hanging="0" w:left="567" w:right="567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11" w:customStyle="1">
    <w:name w:val="Текущий список1"/>
    <w:uiPriority w:val="99"/>
    <w:qFormat/>
    <w:rsid w:val="002700e4"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2"/>
    <w:uiPriority w:val="39"/>
    <w:rsid w:val="00e6582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<Relationship Id="rId2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4F1E14-498E-3C44-BA02-75F92FD8F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Application>LibreOffice/24.8.2.1$MacOSX_AARCH64 LibreOffice_project/0f794b6e29741098670a3b95d60478a65d05ef13</Application>
  <AppVersion>15.0000</AppVersion>
  <Pages>14</Pages>
  <Words>861</Words>
  <Characters>5768</Characters>
  <CharactersWithSpaces>6595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2024-10-10T11:52:00Z</dcterms:created>
  <dc:creator/>
  <dc:description/>
  <dc:language>en-US</dc:language>
  <cp:lastModifiedBy/>
  <cp:lastPrinted>2024-10-20T00:52:22Z</cp:lastPrinted>
  <dcterms:modified xsi:type="dcterms:W3CDTF">2024-10-20T00:52:13Z</dcterms:modified>
  <cp:revision>285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2024-09-15T00:00:00Z</vt:filetime>
  </property>
  <property fmtid="{D5CDD505-2E9C-101B-9397-08002B2CF9AE}" pid="5" name="PTEX.FullBanner">
    <vt:lpwstr>This is LuaHBTeX, Version 1.16.0 (TeX Live 2023)</vt:lpwstr>
  </property>
  <property fmtid="{D5CDD505-2E9C-101B-9397-08002B2CF9AE}" pid="6" name="Producer">
    <vt:lpwstr>LuaTeX-1.16.0</vt:lpwstr>
  </property>
</Properties>
</file>