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ind w:hanging="0" w:right="-42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before="120" w:after="0"/>
        <w:ind w:hanging="0" w:right="-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hd w:val="clear" w:color="auto" w:fill="FFFFFF"/>
        <w:spacing w:before="240" w:after="240"/>
        <w:ind w:hanging="0" w:right="-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Факультет инфокоммуникационных технологий</w:t>
      </w:r>
    </w:p>
    <w:p>
      <w:pPr>
        <w:pStyle w:val="Normal"/>
        <w:shd w:val="clear" w:color="auto" w:fill="FFFFFF"/>
        <w:spacing w:before="240" w:after="240"/>
        <w:ind w:hanging="0" w:right="-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before="240" w:after="240"/>
        <w:ind w:hanging="0" w:right="-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Основы кибербезопасности</w:t>
      </w:r>
    </w:p>
    <w:p>
      <w:pPr>
        <w:pStyle w:val="Normal"/>
        <w:spacing w:before="240" w:after="0"/>
        <w:ind w:hanging="0" w:right="-42"/>
        <w:jc w:val="center"/>
        <w:rPr>
          <w:b/>
          <w:color w:val="2D2D2C"/>
          <w:sz w:val="101"/>
          <w:szCs w:val="101"/>
        </w:rPr>
      </w:pPr>
      <w:r>
        <w:rPr>
          <w:sz w:val="28"/>
          <w:szCs w:val="28"/>
        </w:rPr>
        <w:t>Практическая работа №6</w:t>
      </w:r>
      <w:r>
        <w:rPr>
          <w:b/>
          <w:sz w:val="28"/>
          <w:szCs w:val="28"/>
        </w:rPr>
        <w:br/>
      </w:r>
    </w:p>
    <w:p>
      <w:pPr>
        <w:pStyle w:val="Normal"/>
        <w:spacing w:before="240" w:after="0"/>
        <w:ind w:hanging="0" w:left="-1701" w:right="-84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color="auto" w:fill="FFFFFF"/>
        <w:spacing w:before="240" w:after="240"/>
        <w:ind w:hanging="0" w:left="-1701" w:right="-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b/>
          <w:sz w:val="28"/>
          <w:szCs w:val="28"/>
        </w:rPr>
        <w:t>Выполнил</w:t>
      </w:r>
      <w:r>
        <w:rPr>
          <w:sz w:val="28"/>
          <w:szCs w:val="28"/>
        </w:rPr>
        <w:t>: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sz w:val="28"/>
          <w:szCs w:val="28"/>
        </w:rPr>
        <w:t>студент группы K34211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sz w:val="28"/>
          <w:szCs w:val="28"/>
        </w:rPr>
        <w:t>Швалов Даниил Андреевич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sz w:val="28"/>
          <w:szCs w:val="28"/>
        </w:rPr>
        <w:t xml:space="preserve">преподаватель практики, КТН 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sz w:val="28"/>
          <w:szCs w:val="28"/>
        </w:rPr>
        <w:t>Назаров Михаил Сергеевич</w:t>
      </w:r>
    </w:p>
    <w:p>
      <w:pPr>
        <w:pStyle w:val="Normal"/>
        <w:ind w:hanging="0" w:left="-1701" w:right="570"/>
        <w:rPr/>
      </w:pPr>
      <w:r>
        <w:rPr/>
      </w:r>
    </w:p>
    <w:p>
      <w:pPr>
        <w:pStyle w:val="Normal"/>
        <w:ind w:hanging="0" w:left="-1701" w:right="-847"/>
        <w:rPr/>
      </w:pPr>
      <w:r>
        <w:rPr/>
      </w:r>
    </w:p>
    <w:p>
      <w:pPr>
        <w:pStyle w:val="Normal"/>
        <w:ind w:hanging="0" w:left="-1701" w:right="-847"/>
        <w:rPr/>
      </w:pPr>
      <w:r>
        <w:rPr/>
      </w:r>
    </w:p>
    <w:p>
      <w:pPr>
        <w:pStyle w:val="Normal"/>
        <w:ind w:hanging="0" w:left="-1701" w:right="-847"/>
        <w:rPr/>
      </w:pPr>
      <w:r>
        <w:rPr/>
      </w:r>
    </w:p>
    <w:p>
      <w:pPr>
        <w:pStyle w:val="Normal"/>
        <w:ind w:hanging="0" w:left="-1701" w:right="-847"/>
        <w:rPr/>
      </w:pPr>
      <w:r>
        <w:rPr/>
      </w:r>
    </w:p>
    <w:p>
      <w:pPr>
        <w:pStyle w:val="Normal"/>
        <w:ind w:hanging="0" w:left="-1701" w:right="-847"/>
        <w:rPr/>
      </w:pPr>
      <w:r>
        <w:rPr/>
      </w:r>
    </w:p>
    <w:p>
      <w:pPr>
        <w:pStyle w:val="Normal"/>
        <w:ind w:hanging="0" w:left="-1701" w:right="-847"/>
        <w:rPr/>
      </w:pPr>
      <w:r>
        <w:rPr/>
      </w:r>
    </w:p>
    <w:p>
      <w:pPr>
        <w:pStyle w:val="Normal"/>
        <w:ind w:hanging="0" w:left="-1701" w:right="-847"/>
        <w:rPr/>
      </w:pPr>
      <w:r>
        <w:rPr/>
      </w:r>
    </w:p>
    <w:p>
      <w:pPr>
        <w:pStyle w:val="Normal"/>
        <w:ind w:hanging="0" w:left="-1701" w:right="-847"/>
        <w:rPr/>
      </w:pPr>
      <w:r>
        <w:rPr/>
      </w:r>
    </w:p>
    <w:p>
      <w:pPr>
        <w:pStyle w:val="Normal"/>
        <w:ind w:hanging="0" w:left="-1701" w:right="-847"/>
        <w:rPr/>
      </w:pPr>
      <w:r>
        <w:rPr/>
      </w:r>
    </w:p>
    <w:p>
      <w:pPr>
        <w:pStyle w:val="Normal"/>
        <w:spacing w:before="240" w:after="240"/>
        <w:ind w:hanging="0" w:right="-42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before="240" w:after="240"/>
        <w:ind w:hanging="0" w:right="-42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>
      <w:pPr>
        <w:pStyle w:val="Heading1"/>
        <w:rPr/>
      </w:pPr>
      <w:bookmarkStart w:id="0" w:name="__RefHeading___Toc6438_2741830133"/>
      <w:bookmarkStart w:id="1" w:name="_Toc179827328"/>
      <w:bookmarkStart w:id="2" w:name="_Toc179827396"/>
      <w:bookmarkEnd w:id="0"/>
      <w:r>
        <w:rPr/>
        <w:t>Оглавление</w:t>
      </w:r>
      <w:bookmarkEnd w:id="1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6440_2741830133">
            <w:r>
              <w:rPr>
                <w:rStyle w:val="IndexLink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6442_2741830133">
            <w:r>
              <w:rPr>
                <w:rStyle w:val="IndexLink"/>
              </w:rPr>
              <w:t>Содержание отчета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8544_875968271">
            <w:r>
              <w:rPr>
                <w:rStyle w:val="IndexLink"/>
              </w:rPr>
              <w:t>1. Описание системы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8544_875968271_Copy_2">
            <w:r>
              <w:rPr>
                <w:rStyle w:val="IndexLink"/>
              </w:rPr>
              <w:t>1.1. Назначение системы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1518_4064630655">
            <w:r>
              <w:rPr>
                <w:rStyle w:val="IndexLink"/>
              </w:rPr>
              <w:t>1.2. Основной перечень ОТСС и ВТСС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6446_2741830133">
            <w:r>
              <w:rPr>
                <w:rStyle w:val="IndexLink"/>
              </w:rPr>
              <w:t>1.3. Циркулирующая информация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8544_875968271_Copy_1">
            <w:r>
              <w:rPr>
                <w:rStyle w:val="IndexLink"/>
              </w:rPr>
              <w:t>2. Класс защищаемой системы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8544_875968271_Copy_1_">
            <w:r>
              <w:rPr>
                <w:rStyle w:val="IndexLink"/>
              </w:rPr>
              <w:t>3. Определение необходимых систем защиты информации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8544_875968271_Copy_11">
            <w:r>
              <w:rPr>
                <w:rStyle w:val="IndexLink"/>
              </w:rPr>
              <w:t>4. Системы защиты информации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8544_875968271_Copy_12">
            <w:r>
              <w:rPr>
                <w:rStyle w:val="IndexLink"/>
              </w:rPr>
              <w:t>4.1. Astra Linux Special Edition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8544_875968271_Copy_13">
            <w:r>
              <w:rPr>
                <w:rStyle w:val="IndexLink"/>
              </w:rPr>
              <w:t>4.2. Solar Next Generation Firewall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8544_875968271_Copy_14">
            <w:r>
              <w:rPr>
                <w:rStyle w:val="IndexLink"/>
              </w:rPr>
              <w:t>4.3. Solar Dozor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8544_875968271_Copy_15">
            <w:r>
              <w:rPr>
                <w:rStyle w:val="IndexLink"/>
              </w:rPr>
              <w:t>4.4. Solar appScreener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9025" w:leader="dot"/>
            </w:tabs>
            <w:rPr/>
          </w:pPr>
          <w:hyperlink w:anchor="__RefHeading___Toc8544_875968271_Copy_16">
            <w:r>
              <w:rPr>
                <w:rStyle w:val="IndexLink"/>
              </w:rPr>
              <w:t>5. Конечная схема информационной системы</w:t>
              <w:tab/>
              <w:t>9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7412_875968271">
            <w:r>
              <w:rPr>
                <w:rStyle w:val="IndexLink"/>
              </w:rPr>
              <w:t>Вывод по работе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</w:p>
    <w:p>
      <w:pPr>
        <w:pStyle w:val="BodyText"/>
        <w:spacing w:lineRule="auto" w:line="360"/>
        <w:ind w:firstLine="709" w:right="-42"/>
        <w:jc w:val="both"/>
        <w:rPr>
          <w:b/>
          <w:bCs/>
          <w:spacing w:val="-4"/>
        </w:rPr>
      </w:pPr>
      <w:r>
        <w:rPr>
          <w:b/>
          <w:bCs/>
          <w:spacing w:val="-4"/>
        </w:rPr>
      </w:r>
    </w:p>
    <w:p>
      <w:pPr>
        <w:pStyle w:val="Normal"/>
        <w:rPr>
          <w:b/>
          <w:bCs/>
          <w:spacing w:val="-4"/>
          <w:sz w:val="28"/>
          <w:szCs w:val="28"/>
        </w:rPr>
      </w:pPr>
      <w:r>
        <w:rPr>
          <w:b/>
          <w:bCs/>
          <w:spacing w:val="-4"/>
          <w:sz w:val="28"/>
          <w:szCs w:val="28"/>
        </w:rPr>
      </w:r>
      <w:r>
        <w:br w:type="page"/>
      </w:r>
    </w:p>
    <w:p>
      <w:pPr>
        <w:pStyle w:val="Heading1"/>
        <w:spacing w:before="0" w:after="280"/>
        <w:rPr/>
      </w:pPr>
      <w:bookmarkStart w:id="3" w:name="__RefHeading___Toc6440_2741830133"/>
      <w:bookmarkStart w:id="4" w:name="_Toc179827329"/>
      <w:bookmarkStart w:id="5" w:name="_Toc179827397"/>
      <w:bookmarkEnd w:id="3"/>
      <w:r>
        <w:rPr/>
        <w:t>Введение</w:t>
      </w:r>
      <w:bookmarkEnd w:id="4"/>
      <w:bookmarkEnd w:id="5"/>
    </w:p>
    <w:p>
      <w:pPr>
        <w:pStyle w:val="BodyText"/>
        <w:spacing w:lineRule="auto" w:line="360"/>
        <w:ind w:firstLine="709"/>
        <w:jc w:val="both"/>
        <w:rPr/>
      </w:pPr>
      <w:r>
        <w:rPr>
          <w:b/>
          <w:bCs/>
          <w:spacing w:val="-4"/>
        </w:rPr>
        <w:t>Цель работы</w:t>
      </w:r>
      <w:r>
        <w:rPr>
          <w:b w:val="false"/>
          <w:bCs w:val="false"/>
          <w:spacing w:val="-4"/>
        </w:rPr>
        <w:t>. Изучить типовой алгоритм проектирования системы защиты информации в информационных системах. Приобрести практические навыки в классификации автоматизированных систем. Научиться подбирать средства защиты информации для защищаемых систем.</w:t>
      </w:r>
      <w:r>
        <w:br w:type="page"/>
      </w:r>
    </w:p>
    <w:p>
      <w:pPr>
        <w:pStyle w:val="Heading1"/>
        <w:spacing w:before="0" w:after="280"/>
        <w:rPr/>
      </w:pPr>
      <w:bookmarkStart w:id="6" w:name="__RefHeading___Toc6442_2741830133"/>
      <w:bookmarkStart w:id="7" w:name="_Toc179827330"/>
      <w:bookmarkStart w:id="8" w:name="_Toc179827398"/>
      <w:bookmarkEnd w:id="6"/>
      <w:r>
        <w:rPr/>
        <w:t>Содержание отчета</w:t>
      </w:r>
      <w:bookmarkEnd w:id="7"/>
      <w:bookmarkEnd w:id="8"/>
    </w:p>
    <w:p>
      <w:pPr>
        <w:pStyle w:val="Heading2"/>
        <w:numPr>
          <w:ilvl w:val="0"/>
          <w:numId w:val="1"/>
        </w:numPr>
        <w:ind w:firstLine="709" w:left="0"/>
        <w:rPr/>
      </w:pPr>
      <w:bookmarkStart w:id="9" w:name="__RefHeading___Toc8544_875968271"/>
      <w:bookmarkEnd w:id="9"/>
      <w:r>
        <w:rPr/>
        <w:t>Описание системы</w:t>
      </w:r>
    </w:p>
    <w:p>
      <w:pPr>
        <w:pStyle w:val="Heading2"/>
        <w:numPr>
          <w:ilvl w:val="1"/>
          <w:numId w:val="1"/>
        </w:numPr>
        <w:ind w:firstLine="709" w:left="0"/>
        <w:rPr/>
      </w:pPr>
      <w:bookmarkStart w:id="10" w:name="__RefHeading___Toc8544_875968271_Copy_2"/>
      <w:bookmarkEnd w:id="10"/>
      <w:r>
        <w:rPr/>
        <w:t>Назначение системы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/>
        <w:t>И</w:t>
      </w:r>
      <w:r>
        <w:rPr>
          <w:spacing w:val="-4"/>
        </w:rPr>
        <w:t xml:space="preserve">нформационным объектом для данной практической работы была выбрана коллегия адвокатов — негосударственная, независимая, самоуправляемая и самоконтролируемая организация профессиональных юристов, добровольно объединившихся в целях оказания квалифицированной юридической помощи физическим и юридическим лицам. 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Коллегия адвокатов оказывает такие юридические услуги, как: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проведение консультаций и составление справок по правовым вопросам;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составление заявлений, жалоб и других документов правового характера;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представление интересов в судопроизводстве;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участие в качестве представителя доверителя.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Юридические услуги оказываются на основе гражданско-правового договора между адвокатом и доверителем.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Коллегия адвокатов обладает внутренней структурой, описанной в таблице 1.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widowControl w:val="false"/>
        <w:bidi w:val="0"/>
        <w:spacing w:lineRule="auto" w:line="360" w:before="0" w:after="0"/>
        <w:ind w:hanging="0" w:left="0" w:right="0"/>
        <w:jc w:val="both"/>
        <w:rPr>
          <w:spacing w:val="-4"/>
        </w:rPr>
      </w:pPr>
      <w:r>
        <w:rPr>
          <w:spacing w:val="-4"/>
        </w:rPr>
        <w:t>Таблица 1 — Должности и обязанности в коллегии адвокатов</w:t>
      </w:r>
    </w:p>
    <w:tbl>
      <w:tblPr>
        <w:tblStyle w:val="a7"/>
        <w:tblW w:w="9020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40"/>
        <w:gridCol w:w="7379"/>
      </w:tblGrid>
      <w:tr>
        <w:trPr>
          <w:trHeight w:val="360" w:hRule="atLeast"/>
        </w:trPr>
        <w:tc>
          <w:tcPr>
            <w:tcW w:w="16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b/>
                <w:bCs/>
              </w:rPr>
            </w:pPr>
            <w:r>
              <w:rPr>
                <w:b/>
                <w:bCs/>
                <w:spacing w:val="-4"/>
                <w:kern w:val="0"/>
                <w:lang w:eastAsia="en-US" w:bidi="ar-SA"/>
              </w:rPr>
              <w:t>Должность</w:t>
            </w:r>
          </w:p>
        </w:tc>
        <w:tc>
          <w:tcPr>
            <w:tcW w:w="737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b/>
                <w:bCs/>
              </w:rPr>
            </w:pPr>
            <w:r>
              <w:rPr>
                <w:b/>
                <w:bCs/>
                <w:spacing w:val="-4"/>
                <w:kern w:val="0"/>
                <w:lang w:eastAsia="en-US" w:bidi="ar-SA"/>
              </w:rPr>
              <w:t>Обязанности</w:t>
            </w:r>
          </w:p>
        </w:tc>
      </w:tr>
      <w:tr>
        <w:trPr>
          <w:trHeight w:val="789" w:hRule="atLeast"/>
        </w:trPr>
        <w:tc>
          <w:tcPr>
            <w:tcW w:w="16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Президент коллегии</w:t>
            </w:r>
          </w:p>
        </w:tc>
        <w:tc>
          <w:tcPr>
            <w:tcW w:w="737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Организация и планирование работы коллегии, заключение договоров и сделок, распоряжение средствами коллегии, осуществление контроля за работой адвокатов</w:t>
            </w:r>
          </w:p>
        </w:tc>
      </w:tr>
      <w:tr>
        <w:trPr>
          <w:trHeight w:val="1398" w:hRule="atLeast"/>
        </w:trPr>
        <w:tc>
          <w:tcPr>
            <w:tcW w:w="16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Президиум коллегии</w:t>
            </w:r>
          </w:p>
        </w:tc>
        <w:tc>
          <w:tcPr>
            <w:tcW w:w="737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Руководство деятельности адвокатов и адвокатских консультаций, принятие и исключение из коллегии, поощрение адвокатов, организует проверки работы адвокатов</w:t>
            </w:r>
          </w:p>
        </w:tc>
      </w:tr>
      <w:tr>
        <w:trPr>
          <w:trHeight w:val="119" w:hRule="atLeast"/>
        </w:trPr>
        <w:tc>
          <w:tcPr>
            <w:tcW w:w="16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Совет коллегии</w:t>
            </w:r>
          </w:p>
        </w:tc>
        <w:tc>
          <w:tcPr>
            <w:tcW w:w="737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Организация и контроль за качеством работы адвокатов, разработка и принятие внутренних нормативных актов, управление финансами коллегии</w:t>
            </w:r>
          </w:p>
        </w:tc>
      </w:tr>
      <w:tr>
        <w:trPr>
          <w:trHeight w:val="760" w:hRule="atLeast"/>
        </w:trPr>
        <w:tc>
          <w:tcPr>
            <w:tcW w:w="16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Ревизионная комиссия</w:t>
            </w:r>
          </w:p>
        </w:tc>
        <w:tc>
          <w:tcPr>
            <w:tcW w:w="737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Ревизии финансово-хозяйственной деятельности коллегии</w:t>
            </w:r>
          </w:p>
        </w:tc>
      </w:tr>
      <w:tr>
        <w:trPr>
          <w:trHeight w:val="600" w:hRule="atLeast"/>
        </w:trPr>
        <w:tc>
          <w:tcPr>
            <w:tcW w:w="16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Технические специалисты</w:t>
            </w:r>
          </w:p>
        </w:tc>
        <w:tc>
          <w:tcPr>
            <w:tcW w:w="737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Разработка и поддержка информационно-технической инфраструктуры коллегии</w:t>
            </w:r>
          </w:p>
        </w:tc>
      </w:tr>
    </w:tbl>
    <w:p>
      <w:pPr>
        <w:pStyle w:val="BodyText"/>
        <w:spacing w:lineRule="auto" w:line="360"/>
        <w:ind w:hanging="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/>
        <w:rPr/>
      </w:pPr>
      <w:bookmarkStart w:id="11" w:name="__RefHeading___Toc1518_4064630655"/>
      <w:bookmarkEnd w:id="11"/>
      <w:r>
        <w:rPr/>
        <w:t>Основной перечень ОТСС и ВТСС</w:t>
      </w:r>
    </w:p>
    <w:p>
      <w:pPr>
        <w:pStyle w:val="BodyText"/>
        <w:rPr/>
      </w:pPr>
      <w:r>
        <w:rPr>
          <w:spacing w:val="-4"/>
        </w:rPr>
        <w:t>На рисунке 1 приведена схема информационно-технической инфраструктуры рассматриваемой коллегии адвокатов.</w:t>
      </w:r>
    </w:p>
    <w:p>
      <w:pPr>
        <w:pStyle w:val="BodyTex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hanging="0" w:left="0" w:right="0"/>
        <w:jc w:val="center"/>
        <w:rPr/>
      </w:pPr>
      <w:r>
        <w:rPr/>
        <w:drawing>
          <wp:inline distT="0" distB="0" distL="0" distR="0">
            <wp:extent cx="5731510" cy="4102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hanging="0" w:left="0" w:right="0"/>
        <w:jc w:val="center"/>
        <w:rPr/>
      </w:pPr>
      <w:r>
        <w:rPr/>
        <w:t xml:space="preserve">Рисунок 1 — </w:t>
      </w:r>
      <w:r>
        <w:rPr>
          <w:spacing w:val="-4"/>
        </w:rPr>
        <w:t>Схема информационно-технической инфраструктуры коллегии адвокатов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Схема информационно-технической инфраструктуры, состоит из двух сегментов: отдела по работе с клиентами и отдела административного отдела. В совокупности, эти отделы состоят из следующих компонентов: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680" w:left="0" w:right="0"/>
        <w:jc w:val="both"/>
        <w:rPr>
          <w:spacing w:val="-4"/>
        </w:rPr>
      </w:pPr>
      <w:r>
        <w:rPr>
          <w:spacing w:val="-4"/>
        </w:rPr>
        <w:t>веб-сервер, который обслуживает общедоступный информационный портал коллегии адвокатов и позволяет клиентам получить информацию или способ связи с коллегией;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680" w:left="0" w:right="0"/>
        <w:jc w:val="both"/>
        <w:rPr>
          <w:spacing w:val="-4"/>
        </w:rPr>
      </w:pPr>
      <w:r>
        <w:rPr>
          <w:spacing w:val="-4"/>
        </w:rPr>
        <w:t>веб-сервер, который обслуживает внутренний информационный портал коллегии адвокатов, с которым работают сотрудники коллегии;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680" w:left="0" w:right="0"/>
        <w:jc w:val="both"/>
        <w:rPr>
          <w:spacing w:val="-4"/>
        </w:rPr>
      </w:pPr>
      <w:r>
        <w:rPr>
          <w:spacing w:val="-4"/>
        </w:rPr>
        <w:t>VPN-сервер для безопасного доступа адвокатов в контролируемую зону;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680" w:left="0" w:right="0"/>
        <w:jc w:val="both"/>
        <w:rPr>
          <w:spacing w:val="-4"/>
        </w:rPr>
      </w:pPr>
      <w:r>
        <w:rPr>
          <w:spacing w:val="-4"/>
        </w:rPr>
        <w:t>база данных клиентов, в которой хранятся данные, сохраняемые с веб-сервера (например, записи на прием, персональная информация, документы);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680" w:left="0" w:right="0"/>
        <w:jc w:val="both"/>
        <w:rPr>
          <w:spacing w:val="-4"/>
        </w:rPr>
      </w:pPr>
      <w:r>
        <w:rPr>
          <w:spacing w:val="-4"/>
        </w:rPr>
        <w:t>база данных административных документов, где хранятся внутренние документы, связанные с работой коллегии;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680" w:left="0" w:right="0"/>
        <w:jc w:val="both"/>
        <w:rPr>
          <w:spacing w:val="-4"/>
        </w:rPr>
      </w:pPr>
      <w:r>
        <w:rPr>
          <w:spacing w:val="-4"/>
        </w:rPr>
        <w:t>устройства для маршрутизации трафика;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680" w:left="0" w:right="0"/>
        <w:jc w:val="both"/>
        <w:rPr>
          <w:spacing w:val="-4"/>
        </w:rPr>
      </w:pPr>
      <w:r>
        <w:rPr>
          <w:spacing w:val="-4"/>
        </w:rPr>
        <w:t>автоматизированные рабочие места и персональные устройства сотрудников;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680" w:left="0" w:right="0"/>
        <w:jc w:val="both"/>
        <w:rPr>
          <w:spacing w:val="-4"/>
        </w:rPr>
      </w:pPr>
      <w:r>
        <w:rPr>
          <w:spacing w:val="-4"/>
        </w:rPr>
        <w:t>офисное оборудование (принтеры, сканеры и т. п.).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Предполагается, что клиенты могут иметь доступ только к информационному порталу коллегии адвокатов. Для взаимодействия с порталом предлагается использовать протокол HTTPS.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При этом самим адвокатам может понадобиться доступ к различным конфиденциальным документам. Для безопасной передачи данных предлагается использовать собственный VPN-сервер, например, на базе OpenVPN. Это позволит быть уверенным в том, что конфиденциальные данные передаются достаточно защищенно по сети.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Для настройки и поддержки информационно-технической инфраструктуры предлагается использовать автоматизированное рабочее место для технических специалистов, находящееся в контролируемой зоне.</w:t>
      </w:r>
    </w:p>
    <w:p>
      <w:pPr>
        <w:pStyle w:val="Heading2"/>
        <w:numPr>
          <w:ilvl w:val="1"/>
          <w:numId w:val="1"/>
        </w:numPr>
        <w:ind w:firstLine="709" w:left="0"/>
        <w:rPr/>
      </w:pPr>
      <w:bookmarkStart w:id="12" w:name="__RefHeading___Toc6446_2741830133"/>
      <w:bookmarkEnd w:id="12"/>
      <w:r>
        <w:rPr/>
        <w:t>Циркулирующая информация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В коллегии адвокатов работают со следующими данными: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информация о клиенте (ФИО, контактные данные, история обращений и т. п.);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юридическая информация (документы, справки, выписки, судебное делопроизводство и т. п.);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административная информация (информация об адвокатах, их ФИО, контактные данные, информация об их рабочей деятельности и т. п.).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Часть из перечисленных данных могут являться конфиденциальными, т. е. у злоумышленников или простых пользователей не должно быть прямого доступа к ним. Поэтому такие данные должны быть защищены должным образом.</w:t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13" w:name="__RefHeading___Toc8544_875968271_Copy_1"/>
      <w:bookmarkEnd w:id="13"/>
      <w:r>
        <w:rPr/>
        <w:t>Класс защищаемой системы</w:t>
      </w:r>
    </w:p>
    <w:p>
      <w:pPr>
        <w:pStyle w:val="BodyText"/>
        <w:rPr/>
      </w:pPr>
      <w:r>
        <w:rPr/>
        <w:t xml:space="preserve">Оба сегмента информационной системы являются многопользовательскими, т. е. в них одновременно обрабатывается и хранится информация разных уровней конфиденциальности, т. е. не все пользователи имеют право доступа ко всей информации. </w:t>
      </w:r>
    </w:p>
    <w:p>
      <w:pPr>
        <w:pStyle w:val="BodyText"/>
        <w:rPr/>
      </w:pPr>
      <w:r>
        <w:rPr/>
        <w:t>Так, например, доступ к юридическим документам должен быть предоставлен только тем адвокатам, которые работают над соответствующим делом. Также, доступ к персональным данным сотрудников должен быть только у руководства и соответствующих сотрудников. У остальных сотрудников такого доступа быть не должно.</w:t>
      </w:r>
    </w:p>
    <w:p>
      <w:pPr>
        <w:pStyle w:val="BodyText"/>
        <w:rPr/>
      </w:pPr>
      <w:r>
        <w:rPr/>
        <w:t>Исходя из этого, оба сегмента относятся к первой группе защищенности.</w:t>
      </w:r>
    </w:p>
    <w:p>
      <w:pPr>
        <w:pStyle w:val="BodyText"/>
        <w:rPr/>
      </w:pPr>
      <w:r>
        <w:rPr/>
        <w:t>В первом сегменте «Отдел по работе с клиентами» предполагается хранить и обрабатывать различную информацию, связанную с клиентами. Примерами такой информации может выступать персональные данные, профессиональная или служебная тайна. При этом в ней не предполагается обрабатывать секретные данные. Таким образом, первый сегмент относится к классу 1Г.</w:t>
      </w:r>
    </w:p>
    <w:p>
      <w:pPr>
        <w:pStyle w:val="BodyText"/>
        <w:rPr/>
      </w:pPr>
      <w:r>
        <w:rPr/>
        <w:t>Во втором сегменте «Административный отдел» предполагается хранить и обрабатывать информацию, связанную с работой коллегии. В качестве основных защищаемых данных будут выступать персональные данные сотрудников коллегии. В данном сегменте не предполагается обрабатывать ни служебную тайну, ни секретные данные. Исходя из этого, второй сегмент относится к классу 1Д.</w:t>
      </w:r>
    </w:p>
    <w:p>
      <w:pPr>
        <w:pStyle w:val="BodyText"/>
        <w:rPr/>
      </w:pPr>
      <w:r>
        <w:rPr/>
        <w:t>Поскольку предполагается, что в системе будут работать несколько пользователей одновременно с разными уровнями доступа, то информационная система соответствует коллективному режиму обработки данных.</w:t>
      </w:r>
    </w:p>
    <w:p>
      <w:pPr>
        <w:pStyle w:val="BodyText"/>
        <w:rPr/>
      </w:pPr>
      <w:r>
        <w:rPr/>
        <w:t>Таким образом, сегменты были отнесены к следующим классам: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сегмент №1: класс 1Г;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сегмент №2: класс 1Д.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Система в целом соответствует классу 1Г.</w:t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14" w:name="__RefHeading___Toc8544_875968271_Copy_1_"/>
      <w:bookmarkEnd w:id="14"/>
      <w:r>
        <w:rPr/>
        <w:t>Определение необходимых систем защиты информации</w:t>
      </w:r>
    </w:p>
    <w:p>
      <w:pPr>
        <w:pStyle w:val="BodyText"/>
        <w:rPr/>
      </w:pPr>
      <w:r>
        <w:rPr/>
        <w:t>Для сегментов №1 и №2 с классами 1Г и 1Д соответственно актуальны подсистемы, представленные в таблице 2.</w:t>
      </w:r>
    </w:p>
    <w:p>
      <w:pPr>
        <w:pStyle w:val="BodyTex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/>
        <w:t>Таблица 2 — Подсистемы и требования для систем с классами 1Г и 1Д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28"/>
        <w:gridCol w:w="795"/>
        <w:gridCol w:w="803"/>
      </w:tblGrid>
      <w:tr>
        <w:trPr/>
        <w:tc>
          <w:tcPr>
            <w:tcW w:w="7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Подсистемы и требования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Классы</w:t>
            </w:r>
          </w:p>
        </w:tc>
      </w:tr>
      <w:tr>
        <w:trPr/>
        <w:tc>
          <w:tcPr>
            <w:tcW w:w="74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1Г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1Д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1. Подсистема управления доступом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ind w:hanging="0"/>
              <w:jc w:val="left"/>
              <w:rPr/>
            </w:pPr>
            <w:r>
              <w:rPr/>
              <w:t>1.1. Идентификация, проверка подлинности и контроль доступа субъектов: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в систему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к терминалам, ЭВМ, узлам сети ЭВМ, каналам связи, внешним устройствам ЭВМ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к программам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к томам, каталогам, файлам, записям, полям записей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1.2. Управление потоками информации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2. Подсистема регистрации и учета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2.1. Регистрация и учет: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входа (выхода) субъектов доступа в (из) систему (узел сети)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выдачи печатных (графических) выходных документов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запуска (завершения) программ и процессов (заданий, задач)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доступа программ субъектов доступа к защищаемым файлам, включая их создание и удаление, передачу по линиям и каналам связи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ind w:hanging="0"/>
              <w:jc w:val="left"/>
              <w:rPr/>
            </w:pPr>
            <w:r>
              <w:rPr/>
              <w:t>доступа программ субъектов доступа к терминалам, ЭВМ, узлам сети ЭВМ, каналам связи, внешним устройствам ЭВМ, программам, томам, каталогам, файлам, записям, полям записей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изменения полномочий субъектов доступа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создаваемых защищаемых объектов доступа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2.2. Учет носителей информации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ind w:hanging="0"/>
              <w:jc w:val="left"/>
              <w:rPr/>
            </w:pPr>
            <w:r>
              <w:rPr/>
              <w:t>2.3. Очистка (обнуление, обезличивание) освобождаемых областей оперативной памяти ЭВМ и внешних накопителей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2.4. Сигнализация попыток нарушения защиты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3. Криптографическая подсистема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3.1. Шифрование конфиденциальной информации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3.2. Шифрование информации, принадлежащей различным субъектам доступа (группам субъектов) на разных ключах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3.3. Использование аттестованных (сертифицированных) криптографических средств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4. Подсистема обеспечения целостности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4.1. Обеспечение целостности программных средств и обрабатываемой информации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4.2. Физическая охрана средств вычислительной техники и носителей информации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4.3. Наличие администратора (службы) защиты информации в АС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4.4. Периодическое тестирование СЗИ НСД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4.5. Наличие средств восстановления СЗИ НСД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4.6. Использование сертифицированных средств защиты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BodyText"/>
        <w:rPr/>
      </w:pPr>
      <w:r>
        <w:rPr/>
      </w:r>
      <w:bookmarkStart w:id="15" w:name="__RefHeading___Toc8544_875968271_Copy_17"/>
      <w:bookmarkStart w:id="16" w:name="__RefHeading___Toc8544_875968271_Copy_17"/>
      <w:bookmarkEnd w:id="16"/>
    </w:p>
    <w:p>
      <w:pPr>
        <w:pStyle w:val="Heading2"/>
        <w:numPr>
          <w:ilvl w:val="0"/>
          <w:numId w:val="1"/>
        </w:numPr>
        <w:ind w:firstLine="709" w:left="0"/>
        <w:rPr/>
      </w:pPr>
      <w:bookmarkStart w:id="17" w:name="__RefHeading___Toc8544_875968271_Copy_11"/>
      <w:bookmarkEnd w:id="17"/>
      <w:r>
        <w:rPr/>
        <w:t>Системы защиты информации</w:t>
      </w:r>
    </w:p>
    <w:p>
      <w:pPr>
        <w:pStyle w:val="BodyText"/>
        <w:rPr/>
      </w:pPr>
      <w:r>
        <w:rPr/>
        <w:t xml:space="preserve">Для </w:t>
      </w:r>
      <w:r>
        <w:rPr>
          <w:lang w:val="ru-RU"/>
        </w:rPr>
        <w:t>проверки подлинности и контроля доступа субъектов, учета носителей информации и обеспечения целостности системы и хранимых данных были выбраны следующие системы защиты: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lang w:val="ru-RU"/>
        </w:rPr>
        <w:t>Astra Linux Special Edition: для АРМ (в версии Desktop) и для веб-серверов (в версии Server).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Solar Next Generation Firewall: для защиты внутренней сети от внешних атак;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Solar Dozor: для контроля трафика и коммуникаций во внутренней сети, предотвращения утечек конфиденциальной информации;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Solar appScreener: для поиска угроз и уязвимостей в используемом программном обеспечении.</w:t>
      </w:r>
    </w:p>
    <w:p>
      <w:pPr>
        <w:pStyle w:val="BodyText"/>
        <w:widowControl w:val="false"/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Далее описаны основные сведения об этих системах защиты.</w:t>
      </w:r>
    </w:p>
    <w:p>
      <w:pPr>
        <w:pStyle w:val="Heading2"/>
        <w:numPr>
          <w:ilvl w:val="1"/>
          <w:numId w:val="1"/>
        </w:numPr>
        <w:ind w:firstLine="709" w:left="0"/>
        <w:rPr/>
      </w:pPr>
      <w:bookmarkStart w:id="18" w:name="__RefHeading___Toc8544_875968271_Copy_12"/>
      <w:bookmarkEnd w:id="18"/>
      <w:r>
        <w:rPr/>
        <w:t>Astra Linux Special Edition</w:t>
      </w:r>
    </w:p>
    <w:p>
      <w:pPr>
        <w:pStyle w:val="BodyText"/>
        <w:rPr/>
      </w:pPr>
      <w:bookmarkStart w:id="19" w:name="__RefHeading___Toc8544_875968271_Copy_18"/>
      <w:bookmarkEnd w:id="19"/>
      <w:r>
        <w:rPr/>
        <w:t>Astra Linux Special Edition — сертифицированная операционная система со встроенными средствами защиты информаци для стабильной и безопасной работы ИТ-инфраструктур любого масштаба и обработки информации различной степени конфиденциальности. Она представлена в различных вариациях: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Astra Linux Desktop для настольных компьютеров;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Astra Linux Server для серверов;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Astra Linux Mobile для планшетов и  мобильных устройств;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Astra Linux Embedded для встраиваемых систем.</w:t>
      </w:r>
    </w:p>
    <w:p>
      <w:pPr>
        <w:pStyle w:val="BodyText"/>
        <w:widowControl w:val="false"/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Astra Linux обладает следующими преимуществами: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поддержка различных процессорных архитектур;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верифицированные средства защиты информации;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совместимость с отечественным программным обеспечением;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 xml:space="preserve">возможности для работы с гостайной, в том числе с грифом </w:t>
        <w:br/>
        <w:t>«особой важности»;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защищенные комплексы виртуализации;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комплексы для обработки конфиденциальных сведений и персональной информации.</w:t>
      </w:r>
    </w:p>
    <w:p>
      <w:pPr>
        <w:pStyle w:val="BodyText"/>
        <w:widowControl w:val="false"/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Astra Linux Special Edition внесен в Единый реестр отечественного ПО, сертифицирован ФСТЭК России и соответствует требованиям первого класса защиты операционных систем типа «А».</w:t>
      </w:r>
    </w:p>
    <w:p>
      <w:pPr>
        <w:pStyle w:val="Heading2"/>
        <w:numPr>
          <w:ilvl w:val="1"/>
          <w:numId w:val="1"/>
        </w:numPr>
        <w:ind w:firstLine="709" w:left="0"/>
        <w:rPr/>
      </w:pPr>
      <w:bookmarkStart w:id="20" w:name="__RefHeading___Toc8544_875968271_Copy_13"/>
      <w:bookmarkEnd w:id="20"/>
      <w:r>
        <w:rPr/>
        <w:t>Solar Next Generation Firewall</w:t>
      </w:r>
    </w:p>
    <w:p>
      <w:pPr>
        <w:pStyle w:val="BodyText"/>
        <w:rPr/>
      </w:pPr>
      <w:r>
        <w:rPr/>
        <w:t>Solar Next Generation Firewall — это программный межсетевой экран, обеспечивающий комплексную защиту корпоративной сети от сетевых атак и вредоносного ПО, а также управление доступом к веб-ресурсам.</w:t>
      </w:r>
    </w:p>
    <w:p>
      <w:pPr>
        <w:pStyle w:val="BodyText"/>
        <w:rPr/>
      </w:pPr>
      <w:r>
        <w:rPr/>
        <w:t>Solar Next Generation Firewall обладает следующим функционалом: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предотвращение вторжений, защита от топ-200 актуальных атак с производительностью IPS до 20 Гбит/с;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URL-фильтрация и фильтрация содержимого;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SSL-инспекция содержимого трафика на наличие угроз;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контроль сетевого трафика прикладных приложений.</w:t>
      </w:r>
    </w:p>
    <w:p>
      <w:pPr>
        <w:pStyle w:val="BodyText"/>
        <w:widowControl w:val="false"/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Solar Next Generation Firewall внесен в Единый реестр отечественного ПО, сертифицирован ФСТЭК России и соответствует требованиям к межсетевым экранам по профилю защиты типа «А» и профилю защиты систем обнаружения вторжений уровня сети четвертого класса защиты.</w:t>
      </w:r>
    </w:p>
    <w:p>
      <w:pPr>
        <w:pStyle w:val="BodyText"/>
        <w:widowControl w:val="false"/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/>
        <w:rPr/>
      </w:pPr>
      <w:bookmarkStart w:id="21" w:name="__RefHeading___Toc8544_875968271_Copy_14"/>
      <w:bookmarkEnd w:id="21"/>
      <w:r>
        <w:rPr/>
        <w:t>Solar Dozor</w:t>
      </w:r>
    </w:p>
    <w:p>
      <w:pPr>
        <w:pStyle w:val="BodyText"/>
        <w:rPr/>
      </w:pPr>
      <w:r>
        <w:rPr/>
        <w:t>Solar Dozor — это высокопроизводительная система предотвращения утечек конфиденциальной информации, корпоративного мошенничества, профилактики и расследования инцидентов.</w:t>
      </w:r>
    </w:p>
    <w:p>
      <w:pPr>
        <w:pStyle w:val="BodyText"/>
        <w:rPr/>
      </w:pPr>
      <w:r>
        <w:rPr/>
        <w:t>Solar Dozor обладает следующим функционалом: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предотвращение утечек в реальном времени;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полное покрытие всех каналов передачи данных;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превентивное выявление нарушений с помощью поведенческого анализа;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предупреждение инцидентов, связанных с внутренними нарушителями;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инструменты для расследования инцидентов.</w:t>
      </w:r>
    </w:p>
    <w:p>
      <w:pPr>
        <w:pStyle w:val="BodyText"/>
        <w:widowControl w:val="false"/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Solar Dozor внесен в Единый реестр отечественного ПО, сертифицирован ФСТЭК России и соответствует четвертому уровню контроля и технических условий.</w:t>
      </w:r>
    </w:p>
    <w:p>
      <w:pPr>
        <w:pStyle w:val="Heading2"/>
        <w:numPr>
          <w:ilvl w:val="1"/>
          <w:numId w:val="1"/>
        </w:numPr>
        <w:ind w:firstLine="709" w:left="0"/>
        <w:rPr/>
      </w:pPr>
      <w:bookmarkStart w:id="22" w:name="__RefHeading___Toc8544_875968271_Copy_15"/>
      <w:bookmarkEnd w:id="22"/>
      <w:r>
        <w:rPr/>
        <w:t>Solar appScreener</w:t>
      </w:r>
    </w:p>
    <w:p>
      <w:pPr>
        <w:pStyle w:val="BodyText"/>
        <w:rPr/>
      </w:pPr>
      <w:bookmarkStart w:id="23" w:name="__RefHeading___Toc8544_875968271_Copy_19"/>
      <w:bookmarkEnd w:id="23"/>
      <w:r>
        <w:rPr/>
        <w:t>Solar appScreener — это система для обеспечения комплексной безопасность разработки приложений на основе технологий статического, динамического анализа, анализа состава и цепочки поставок ПО.</w:t>
      </w:r>
    </w:p>
    <w:p>
      <w:pPr>
        <w:pStyle w:val="BodyText"/>
        <w:rPr/>
      </w:pPr>
      <w:bookmarkStart w:id="24" w:name="__RefHeading___Toc8544_875968271_Copy_1a"/>
      <w:bookmarkEnd w:id="24"/>
      <w:r>
        <w:rPr/>
        <w:t>Solar appScreener обладает следующим функционалом: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всесторонний контроль безопасности ПО основными видами анализа кода (SAST, DAST, OSA);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анализ бинарного кода, проверка мобильных приложений по ссылке в App Store или Google Play и готовых веб-приложений;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поддержка 36 языков программирования, 10 форматов исполняемых файлов и программ-полиглотов;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формирование детального отчет с результатами разных видов анализа кода и списком найденных уязвимостей в коде.</w:t>
      </w:r>
    </w:p>
    <w:p>
      <w:pPr>
        <w:pStyle w:val="BodyText"/>
        <w:widowControl w:val="false"/>
        <w:tabs>
          <w:tab w:val="clear" w:pos="720"/>
          <w:tab w:val="left" w:pos="877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25" w:name="__RefHeading___Toc8544_875968271_Copy_16"/>
      <w:bookmarkEnd w:id="25"/>
      <w:r>
        <w:rPr/>
        <w:t>Конечная схема информационной системы</w:t>
      </w:r>
    </w:p>
    <w:p>
      <w:pPr>
        <w:pStyle w:val="BodyText"/>
        <w:rPr/>
      </w:pPr>
      <w:r>
        <w:rPr/>
        <w:t>В соответствии с вышеперечисленными средствами защиты информации, схема, представленная на рисунке 1, была дополнена. Конечная схема информационной системы представлена на рисунке 2.</w:t>
      </w:r>
    </w:p>
    <w:p>
      <w:pPr>
        <w:pStyle w:val="BodyTex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hanging="0" w:left="0" w:right="0"/>
        <w:jc w:val="center"/>
        <w:rPr/>
      </w:pPr>
      <w:r>
        <w:rPr/>
        <w:drawing>
          <wp:inline distT="0" distB="0" distL="0" distR="0">
            <wp:extent cx="5731510" cy="36087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hanging="0" w:left="0" w:right="0"/>
        <w:jc w:val="center"/>
        <w:rPr/>
      </w:pPr>
      <w:r>
        <w:rPr/>
        <w:t xml:space="preserve">Рисунок 2 — </w:t>
      </w:r>
      <w:r>
        <w:rPr>
          <w:spacing w:val="-4"/>
        </w:rPr>
        <w:t>Схема информационно-технической инфраструктуры коллегии адвокатов</w:t>
      </w:r>
      <w:r>
        <w:br w:type="page"/>
      </w:r>
    </w:p>
    <w:p>
      <w:pPr>
        <w:pStyle w:val="Heading1"/>
        <w:spacing w:before="0" w:after="280"/>
        <w:rPr/>
      </w:pPr>
      <w:bookmarkStart w:id="26" w:name="__RefHeading___Toc7412_875968271"/>
      <w:bookmarkStart w:id="27" w:name="_Toc179827332"/>
      <w:bookmarkStart w:id="28" w:name="_Toc179827405"/>
      <w:bookmarkEnd w:id="26"/>
      <w:r>
        <w:rPr/>
        <w:t>Вывод по работе</w:t>
      </w:r>
      <w:bookmarkEnd w:id="27"/>
      <w:bookmarkEnd w:id="28"/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В результате выполнения данной практической работы был изучен</w:t>
      </w:r>
      <w:r>
        <w:rPr>
          <w:b w:val="false"/>
          <w:bCs w:val="false"/>
          <w:spacing w:val="-4"/>
        </w:rPr>
        <w:t xml:space="preserve"> типовой алгоритм проектирования системы защиты информации в информационных системах, приобретены практические навыки в классификации автоматизированных систем, получены навыки подбора средств защиты информации для защищаемых систем.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9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9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9" w:hanging="2160"/>
      </w:pPr>
      <w:rPr/>
    </w:lvl>
  </w:abstractNum>
  <w:abstractNum w:abstractNumId="2">
    <w:lvl w:ilvl="0">
      <w:start w:val="1"/>
      <w:numFmt w:val="bullet"/>
      <w:suff w:val="space"/>
      <w:lvlText w:val="—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suff w:val="space"/>
      <w:lvlText w:val="—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5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40" w:before="0" w:after="0"/>
      <w:ind w:hanging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TableParagraph"/>
    <w:next w:val="Normal"/>
    <w:link w:val="1"/>
    <w:uiPriority w:val="9"/>
    <w:qFormat/>
    <w:rsid w:val="00b661ea"/>
    <w:pPr>
      <w:spacing w:before="280" w:after="28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BodyText"/>
    <w:next w:val="Normal"/>
    <w:link w:val="2"/>
    <w:uiPriority w:val="9"/>
    <w:unhideWhenUsed/>
    <w:qFormat/>
    <w:rsid w:val="00b661ea"/>
    <w:pPr>
      <w:numPr>
        <w:ilvl w:val="0"/>
        <w:numId w:val="1"/>
      </w:numPr>
      <w:spacing w:lineRule="auto" w:line="360"/>
      <w:ind w:firstLine="709" w:left="0"/>
      <w:jc w:val="both"/>
      <w:outlineLvl w:val="1"/>
    </w:pPr>
    <w:rPr>
      <w:b/>
      <w:bCs/>
      <w:spacing w:val="-4"/>
    </w:rPr>
  </w:style>
  <w:style w:type="paragraph" w:styleId="Heading3">
    <w:name w:val="heading 3"/>
    <w:basedOn w:val="BodyText"/>
    <w:next w:val="Normal"/>
    <w:link w:val="3"/>
    <w:uiPriority w:val="9"/>
    <w:unhideWhenUsed/>
    <w:qFormat/>
    <w:rsid w:val="00b661ea"/>
    <w:pPr>
      <w:numPr>
        <w:ilvl w:val="1"/>
        <w:numId w:val="1"/>
      </w:numPr>
      <w:spacing w:lineRule="auto" w:line="360"/>
      <w:ind w:firstLine="709" w:left="0"/>
      <w:jc w:val="both"/>
      <w:outlineLvl w:val="2"/>
    </w:pPr>
    <w:rPr>
      <w:b/>
      <w:bCs/>
      <w:spacing w:val="-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uiPriority w:val="1"/>
    <w:qFormat/>
    <w:rsid w:val="006003b2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661ea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b661ea"/>
    <w:rPr>
      <w:rFonts w:ascii="Times New Roman" w:hAnsi="Times New Roman" w:eastAsia="Times New Roman" w:cs="Times New Roman"/>
      <w:b/>
      <w:bCs/>
      <w:spacing w:val="-4"/>
      <w:sz w:val="28"/>
      <w:szCs w:val="28"/>
      <w:lang w:val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b661ea"/>
    <w:rPr>
      <w:rFonts w:ascii="Times New Roman" w:hAnsi="Times New Roman" w:eastAsia="Times New Roman" w:cs="Times New Roman"/>
      <w:lang w:val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b661ea"/>
    <w:rPr>
      <w:rFonts w:ascii="Times New Roman" w:hAnsi="Times New Roman" w:eastAsia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b661ea"/>
    <w:rPr>
      <w:color w:themeColor="hyperlink" w:val="0000FF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b661ea"/>
    <w:rPr>
      <w:rFonts w:ascii="Times New Roman" w:hAnsi="Times New Roman" w:eastAsia="Times New Roman" w:cs="Times New Roman"/>
      <w:b/>
      <w:bCs/>
      <w:spacing w:val="-4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661ea"/>
    <w:rPr>
      <w:color w:themeColor="followedHyperlink" w:val="8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uiPriority w:val="10"/>
    <w:qFormat/>
    <w:pPr>
      <w:ind w:left="374" w:right="1025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52a84"/>
    <w:pPr>
      <w:widowControl/>
      <w:spacing w:lineRule="auto" w:line="276" w:before="480" w:after="280"/>
      <w:outlineLvl w:val="9"/>
    </w:pPr>
    <w:rPr>
      <w:b w:val="false"/>
      <w:bCs w:val="false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52a84"/>
    <w:pPr>
      <w:spacing w:before="120" w:after="0"/>
    </w:pPr>
    <w:rPr>
      <w:rFonts w:ascii="Times New Roman" w:hAnsi="Times New Roman" w:cs="Calibri" w:cstheme="minorHAnsi"/>
      <w:b w:val="false"/>
      <w:bCs/>
      <w:i w:val="false"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52a84"/>
    <w:pPr>
      <w:spacing w:before="120" w:after="0"/>
      <w:ind w:left="220"/>
    </w:pPr>
    <w:rPr>
      <w:rFonts w:ascii="Times New Roman" w:hAnsi="Times New Roman" w:cs="Calibri" w:cstheme="minorHAnsi"/>
      <w:b w:val="false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152a84"/>
    <w:pPr>
      <w:ind w:left="4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a84"/>
    <w:pPr>
      <w:ind w:left="66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a84"/>
    <w:pPr>
      <w:ind w:left="88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a84"/>
    <w:pPr>
      <w:ind w:left="110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a84"/>
    <w:pPr>
      <w:ind w:left="132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a84"/>
    <w:pPr>
      <w:ind w:left="15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a84"/>
    <w:pPr>
      <w:ind w:left="176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b661ea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b661ea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Текущий список1"/>
    <w:uiPriority w:val="99"/>
    <w:qFormat/>
    <w:rsid w:val="002700e4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2"/>
    <w:uiPriority w:val="39"/>
    <w:rsid w:val="00e65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4F1E14-498E-3C44-BA02-75F92FD8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Application>LibreOffice/24.8.2.1$MacOSX_AARCH64 LibreOffice_project/0f794b6e29741098670a3b95d60478a65d05ef13</Application>
  <AppVersion>15.0000</AppVersion>
  <Pages>14</Pages>
  <Words>1680</Words>
  <Characters>11744</Characters>
  <CharactersWithSpaces>13181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2024-10-10T11:52:00Z</dcterms:created>
  <dc:creator/>
  <dc:description/>
  <dc:language>en-US</dc:language>
  <cp:lastModifiedBy/>
  <cp:lastPrinted>2024-11-09T12:14:26Z</cp:lastPrinted>
  <dcterms:modified xsi:type="dcterms:W3CDTF">2024-11-09T12:14:53Z</dcterms:modified>
  <cp:revision>543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2024-09-15T00:00:00Z</vt:filetime>
  </property>
  <property fmtid="{D5CDD505-2E9C-101B-9397-08002B2CF9AE}" pid="5" name="PTEX.FullBanner">
    <vt:lpwstr>This is LuaHBTeX, Version 1.16.0 (TeX Live 2023)</vt:lpwstr>
  </property>
  <property fmtid="{D5CDD505-2E9C-101B-9397-08002B2CF9AE}" pid="6" name="Producer">
    <vt:lpwstr>LuaTeX-1.16.0</vt:lpwstr>
  </property>
</Properties>
</file>