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apc_agro</w:t>
      </w:r>
    </w:p>
    <w:p>
      <w:pPr>
        <w:spacing w:after="60"/>
      </w:pPr>
      <w:r>
        <w:rPr>
          <w:color w:val="555555"/>
          <w:sz w:val="30"/>
          <w:szCs w:val="30"/>
        </w:rPr>
        <w:t xml:space="preserve">Desenho da pesquisa</w:t>
      </w:r>
    </w:p>
    <w:p>
      <w:pPr>
        <w:spacing w:after="400"/>
      </w:pPr>
      <w:r>
        <w:rPr>
          <w:i/>
          <w:iCs/>
          <w:color w:val="777777"/>
          <w:sz w:val="20"/>
          <w:szCs w:val="20"/>
        </w:rPr>
        <w:t xml:space="preserve">Daniela Maciel Pinto  ·  atualizado em 13 de julho de 2026</w:t>
      </w:r>
    </w:p>
    <w:p>
      <w:pPr>
        <w:pStyle w:val="Heading1"/>
        <w:spacing w:after="150" w:before="300"/>
      </w:pPr>
      <w:r>
        <w:t xml:space="preserve">Objetivo geral</w:t>
      </w:r>
    </w:p>
    <w:p>
      <w:pPr>
        <w:spacing w:after="160"/>
      </w:pPr>
      <w:r>
        <w:t xml:space="preserve">Mapear estudos e periódicos da área agrícola para posicioná-los quanto ao tipo de acesso/cobrança (fechado, híbrido, Gold OA com APC, Diamond OA sem APC), como base empírica para uma discussão sobre acesso aberto e avaliação da pesquisa. Núcleo institucional: Embrapa / pesquisa agrícola brasileira, com o cenário global como pano de fundo comparativo.</w:t>
      </w:r>
    </w:p>
    <w:p>
      <w:pPr>
        <w:pStyle w:val="Heading1"/>
        <w:spacing w:after="150" w:before="300"/>
      </w:pPr>
      <w:r>
        <w:t xml:space="preserve">1. Decisões fechadas</w:t>
      </w:r>
    </w:p>
    <w:p>
      <w:pPr>
        <w:pStyle w:val="Heading2"/>
        <w:spacing w:after="120" w:before="240"/>
      </w:pPr>
      <w:r>
        <w:t xml:space="preserve">1.1 Estrutura / recorte institucional</w:t>
      </w:r>
    </w:p>
    <w:p>
      <w:pPr>
        <w:spacing w:after="160"/>
      </w:pPr>
      <w:r>
        <w:t xml:space="preserve">Estudo em duas camadas: (A) global, usando a taxonomia de campo do OpenAlex (Domain “Life Sciences” &gt; Field “Agricultural and Biological Sciences” e subfields correlatos) como pano de fundo/benchmark; (B) núcleo Brasil/Embrapa, isolando o subconjunto de periódicos/artigos por onde a produção brasileira (e, quando possível, especificamente a produção afiliada à Embrapa) efetivamente circula. B é comparado contra A.</w:t>
      </w:r>
    </w:p>
    <w:p>
      <w:pPr>
        <w:spacing w:after="160"/>
      </w:pPr>
      <w:r>
        <w:rPr>
          <w:b/>
          <w:bCs/>
        </w:rPr>
        <w:t xml:space="preserve">Ainda a definir: </w:t>
      </w:r>
      <w:r>
        <w:t xml:space="preserve">quais subfields do OpenAlex entram no recorte “agrícola” (ex.: Agronomy and Crop Science, Animal Science and Zoology, Food Science, Soil Science, Horticulture, Forestry — lista a confirmar); como identificar a Embrapa no OpenAlex (institution ID/ROR); se o recorte Brasil inclui só Embrapa ou pesquisa agrícola brasileira em geral.</w:t>
      </w:r>
    </w:p>
    <w:p>
      <w:pPr>
        <w:pStyle w:val="Heading2"/>
        <w:spacing w:after="120" w:before="240"/>
      </w:pPr>
      <w:r>
        <w:t xml:space="preserve">1.2 Temporalidade</w:t>
      </w:r>
    </w:p>
    <w:p>
      <w:pPr>
        <w:spacing w:after="160"/>
      </w:pPr>
      <w:r>
        <w:t xml:space="preserve">Janela de </w:t>
      </w:r>
      <w:r>
        <w:rPr>
          <w:b/>
          <w:bCs/>
        </w:rPr>
        <w:t xml:space="preserve">2014–2024 (10 anos)</w:t>
      </w:r>
      <w:r>
        <w:t xml:space="preserve">, tratada como série temporal (não corte único), para observar uma eventual inflexão em torno do Plan S (anunciado em 2018, em vigor para financiadores signatários a partir de 2021).</w:t>
      </w:r>
    </w:p>
    <w:p>
      <w:pPr>
        <w:spacing w:after="160"/>
      </w:pPr>
      <w:r>
        <w:t xml:space="preserve">Nuance discutida: o Plan S não é um mandato global — a cOAlition S é majoritariamente europeia (+ Wellcome Trust, Gates Foundation, OMS); financiadores brasileiros (CNPq, CAPES, FAPESP) não são signatários. O efeito no Brasil é indireto (editoras internacionais reformulando modelo de negócio globalmente; coautorias brasileiras em projetos com financiamento europeu).</w:t>
      </w:r>
    </w:p>
    <w:p>
      <w:pPr>
        <w:spacing w:after="160"/>
      </w:pPr>
      <w:r>
        <w:rPr>
          <w:b/>
          <w:bCs/>
        </w:rPr>
        <w:t xml:space="preserve">Hipótese de trabalho: </w:t>
      </w:r>
      <w:r>
        <w:t xml:space="preserve">o Brasil/América Latina já tinha infraestrutura robusta de OA sem APC antes do Plan S (SciELO, Redalyc, periódicos institucionais) — a inflexão pós-2018/2021 pode aparecer mais forte nos dados globais do que no recorte Brasil/Embrapa, e a exposição real de pesquisadores brasileiros ao mercado de APC pode estar mais associada à busca por prestígio/indexação internacional do que à falta de alternativa doméstica de OA.</w:t>
      </w:r>
    </w:p>
    <w:p>
      <w:pPr>
        <w:pStyle w:val="Heading2"/>
        <w:spacing w:after="120" w:before="240"/>
      </w:pPr>
      <w:r>
        <w:t xml:space="preserve">1.3 Categorias de análise (eixo principal)</w:t>
      </w:r>
    </w:p>
    <w:p>
      <w:pPr>
        <w:spacing w:after="160"/>
      </w:pPr>
      <w:r>
        <w:t xml:space="preserve">Abandonado o binário “com/sem APC” em favor de 4 categorias, cruzando status de abertura com cobrança: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3000"/>
            <w:shd w:fill="EFEFE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Sem APC</w:t>
            </w:r>
          </w:p>
        </w:tc>
        <w:tc>
          <w:tcPr>
            <w:tcW w:type="dxa" w:w="3000"/>
            <w:shd w:fill="EFEFEF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Com APC</w:t>
            </w:r>
          </w:p>
        </w:tc>
      </w:tr>
      <w:tr>
        <w:tc>
          <w:tcPr>
            <w:tcW w:type="dxa" w:w="3000"/>
            <w:shd w:fill="EFEFE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Fechado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Assinatura tradicional (leitor/instituição paga)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Híbrido (OA opcional por artigo)</w:t>
            </w:r>
          </w:p>
        </w:tc>
      </w:tr>
      <w:tr>
        <w:tc>
          <w:tcPr>
            <w:tcW w:type="dxa" w:w="3000"/>
            <w:shd w:fill="EFEFE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Aberto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Diamond / Platinum OA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Gold OA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1.4 Foco / o que será reportado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Nº e % de periódicos em cada uma das 4 categorias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Nº e % de artigos publicados em periódicos de cada categoria (exposição real de autores/pesquisa ao modelo pago)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Distribuição/valor do APC (faixas)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Recorte geográfico: Global × Brasil × América Latina (comparação entre os três)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Recorte institucional/financiador: tipos de instituição do OpenAlex (education, government, company, nonprofit, funder), isolando organizações governamentais de pesquisa (categoria da Embrapa)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Recorte temático: mapa de subtemas dentro do campo agrícola (ver método)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1.5 Método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Bibliometria descritiva sobre metadados do OpenAlex (Works e Sources)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Classificação temática não supervisionada (embeddings + clustering / topic modeling sobre títulos e resumos), complementar à taxonomia top-down do OpenAlex — reaproveitando o pipeline já validado no artigo Q1 da tese de Daniela (revisão sistemática de 239 estudos, 1969–2022, com PLN e modelagem de tópicos)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Cruzamento dos clusters temáticos com as 4 categorias de acesso/APC</w:t>
      </w:r>
    </w:p>
    <w:p>
      <w:pPr>
        <w:spacing w:after="100"/>
      </w:pPr>
    </w:p>
    <w:p>
      <w:pPr>
        <w:pStyle w:val="Heading2"/>
        <w:spacing w:after="120" w:before="240"/>
      </w:pPr>
      <w:r>
        <w:t xml:space="preserve">1.6 Fonte de dados</w:t>
      </w:r>
    </w:p>
    <w:p>
      <w:pPr>
        <w:spacing w:after="160"/>
      </w:pPr>
      <w:r>
        <w:t xml:space="preserve">OpenAlex API, acesso direto (testado e funcionando em 13/07/2026), sem necessidade de download manual. Requisições devem incluir mailto= com e-mail da Daniela para entrar no “polite pool” (limites de taxa mais folgados). Ferramenta de coleta: R, pacote openalexR.</w:t>
      </w:r>
    </w:p>
    <w:p>
      <w:pPr>
        <w:pStyle w:val="Heading1"/>
        <w:spacing w:after="150" w:before="300"/>
      </w:pPr>
      <w:r>
        <w:t xml:space="preserve">2. Em aberto</w:t>
      </w:r>
    </w:p>
    <w:p>
      <w:pPr>
        <w:pStyle w:val="Heading2"/>
        <w:spacing w:after="120" w:before="240"/>
      </w:pPr>
      <w:r>
        <w:t xml:space="preserve">2.1 Enquadramento da discussão</w:t>
      </w:r>
    </w:p>
    <w:p>
      <w:pPr>
        <w:spacing w:after="160"/>
      </w:pPr>
      <w:r>
        <w:t xml:space="preserve">Adiado deliberadamente — decidido não forçar uma ponte com a tese de doutorado antes de ver os primeiros dados.</w:t>
      </w:r>
    </w:p>
    <w:p>
      <w:pPr>
        <w:spacing w:after="160"/>
      </w:pPr>
      <w:r>
        <w:rPr>
          <w:b/>
          <w:bCs/>
        </w:rPr>
        <w:t xml:space="preserve">Achados da leitura da tese </w:t>
      </w:r>
      <w:r>
        <w:t xml:space="preserve">(“Avaliação para o Maior Impacto”, foco em uso de resultados de avaliação de impacto ex post, RRI/RRA nesse sentido específico — não trata de OA/APC/métricas de periódico):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ponte genérica “acesso aberto é um princípio de RRA/RRI” não é fiel ao argumento real da tese e foi descartada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Ponte 1 (metodológica): este estudo aplica o mesmo instrumental (PLN + topic modeling sobre corpus acadêmico) já validado no artigo Q1 da tese — dá continuidade ao programa de pesquisa da autora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Ponte 2 (teórica, mais estreita e defensável que “RRA em geral”): CoARA especificamente (já citado na tese) tem como bandeira explícita reduzir a dependência de métricas/prestígio de periódico na avaliação de pesquisa. Se capacidade de pagar APC influencia onde se publica, e “onde se publica” ainda funciona como proxy de mérito, isso é o tipo de distorção que a agenda CoARA visa corrigir — ângulo que a tese não explorou, mas que dialoga com o referencial dela</w:t>
      </w:r>
    </w:p>
    <w:p>
      <w:pPr>
        <w:spacing w:after="160"/>
      </w:pPr>
      <w:r>
        <w:t xml:space="preserve">Decisão de aprofundar o enquadramento fica para depois de rodar o mapeamento inicial — padrões nos dados podem indicar qual leitura é mais sustentável empiricamente.</w:t>
      </w:r>
    </w:p>
    <w:p>
      <w:pPr>
        <w:pStyle w:val="Heading2"/>
        <w:spacing w:after="120" w:before="240"/>
      </w:pPr>
      <w:r>
        <w:t xml:space="preserve">2.2 Outras pendências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Lista final de subfields OpenAlex para o recorte “agrícola”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 de identificar Embrapa/instituições brasileiras no OpenAlex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o recorte América Latina inclui todos os países ou um subconjunto</w:t>
      </w:r>
    </w:p>
    <w:p>
      <w:pPr>
        <w:pStyle w:val="Heading1"/>
        <w:spacing w:after="150" w:before="300"/>
      </w:pPr>
      <w:r>
        <w:t xml:space="preserve">3. Backlog (fase posterior)</w:t>
      </w:r>
    </w:p>
    <w:p>
      <w:pPr>
        <w:spacing w:after="160"/>
      </w:pPr>
      <w:r>
        <w:rPr>
          <w:b/>
          <w:bCs/>
        </w:rPr>
        <w:t xml:space="preserve">Índices de citação: </w:t>
      </w:r>
      <w:r>
        <w:t xml:space="preserve">comparar impacto/citação entre periódicos com e sem APC (proxy de “prestígio” vs. modelo de acesso) — pressupõe que o mapeamento básico (categorias, série temporal, recorte temático) já esteja consolidado.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2026-07-13T15:42:57.903Z</dcterms:created>
  <dcterms:modified xsi:type="dcterms:W3CDTF">2026-07-13T15:42:57.903Z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