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O INSTRUMENTO E SUAS CONDIÇÕES DE OPERAÇÃO:</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SEGURANÇA PSICOLÓGICA COMO VARIÁVEL NEUROBIOLÓGICA,</w:t>
      </w: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Times New Roman" w:cs="Times New Roman" w:eastAsia="Times New Roman" w:hAnsi="Times New Roman"/>
          <w:b w:val="1"/>
          <w:bCs w:val="1"/>
          <w:sz w:val="28"/>
          <w:szCs w:val="28"/>
          <w:rtl w:val="0"/>
        </w:rPr>
        <w:t xml:space="preserve">DEBT COGNITIVO E O PARADOXO DA ALTA PERFORMANCE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The Instrument and Its Operating Conditions:</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Psychological Safety as a Neurobiological Variable,</w:t>
      </w: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rFonts w:ascii="Times New Roman" w:cs="Times New Roman" w:eastAsia="Times New Roman" w:hAnsi="Times New Roman"/>
          <w:b w:val="1"/>
          <w:bCs w:val="1"/>
          <w:sz w:val="24"/>
          <w:szCs w:val="24"/>
          <w:rtl w:val="0"/>
        </w:rPr>
        <w:t xml:space="preserve">Cognitive Debt, and the High-Performance Leadership Paradox</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60" w:before="60" w:lineRule="auto"/>
        <w:jc w:val="center"/>
        <w:rPr/>
      </w:pPr>
      <w:r w:rsidDel="00000000" w:rsidR="00000000" w:rsidRPr="00000000">
        <w:rPr>
          <w:rFonts w:ascii="Times New Roman" w:cs="Times New Roman" w:eastAsia="Times New Roman" w:hAnsi="Times New Roman"/>
          <w:b w:val="0"/>
          <w:bCs w:val="0"/>
          <w:sz w:val="22"/>
          <w:szCs w:val="22"/>
          <w:rtl w:val="0"/>
        </w:rPr>
        <w:t xml:space="preserve">El Instrumento y Sus Condiciones de Operación:</w:t>
      </w:r>
      <w:r w:rsidDel="00000000" w:rsidR="00000000" w:rsidRPr="00000000">
        <w:rPr>
          <w:rtl w:val="0"/>
        </w:rPr>
      </w:r>
    </w:p>
    <w:p w:rsidR="00000000" w:rsidDel="00000000" w:rsidP="00000000" w:rsidRDefault="00000000" w:rsidRPr="00000000" w14:paraId="0000000C">
      <w:pPr>
        <w:spacing w:after="60" w:before="60" w:lineRule="auto"/>
        <w:jc w:val="center"/>
        <w:rPr/>
      </w:pPr>
      <w:r w:rsidDel="00000000" w:rsidR="00000000" w:rsidRPr="00000000">
        <w:rPr>
          <w:rFonts w:ascii="Times New Roman" w:cs="Times New Roman" w:eastAsia="Times New Roman" w:hAnsi="Times New Roman"/>
          <w:b w:val="0"/>
          <w:bCs w:val="0"/>
          <w:sz w:val="22"/>
          <w:szCs w:val="22"/>
          <w:rtl w:val="0"/>
        </w:rPr>
        <w:t xml:space="preserve">Seguridad Psicológica como Variable Neurobiológica,</w:t>
      </w:r>
      <w:r w:rsidDel="00000000" w:rsidR="00000000" w:rsidRPr="00000000">
        <w:rPr>
          <w:rtl w:val="0"/>
        </w:rPr>
      </w:r>
    </w:p>
    <w:p w:rsidR="00000000" w:rsidDel="00000000" w:rsidP="00000000" w:rsidRDefault="00000000" w:rsidRPr="00000000" w14:paraId="0000000D">
      <w:pPr>
        <w:spacing w:after="60" w:before="60" w:lineRule="auto"/>
        <w:jc w:val="center"/>
        <w:rPr/>
      </w:pPr>
      <w:r w:rsidDel="00000000" w:rsidR="00000000" w:rsidRPr="00000000">
        <w:rPr>
          <w:rFonts w:ascii="Times New Roman" w:cs="Times New Roman" w:eastAsia="Times New Roman" w:hAnsi="Times New Roman"/>
          <w:b w:val="0"/>
          <w:bCs w:val="0"/>
          <w:sz w:val="22"/>
          <w:szCs w:val="22"/>
          <w:rtl w:val="0"/>
        </w:rPr>
        <w:t xml:space="preserve">Deuda Cognitiva y la Paradoja del Alto Desempeño</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10">
      <w:pPr>
        <w:spacing w:after="60" w:before="200" w:lineRule="auto"/>
        <w:jc w:val="left"/>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1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debate sobre liderança e inteligência artificial tende a operar em dois registros que, juntos, produzem um ponto cego: ou afirma que o julgamento humano é categoricamente insubstituível, ou descreve os riscos de substituição por automação. Ambos tratam de categorias. Nenhum responde à pergunta sobre instâncias concretas: o instrumento, o julgamento de líderes específicos em organizações específicas, está funcionando? Este ensaio parte dessa distinção, formulada por Marzagão (2026), para desenvolver quatro contribuições. A primeira aprofunda o mecanismo neurobiológico pelo qual estresse crônico degrada o córtex pré-frontal, integrando Arnsten, Damasio e Kahneman com evidências da São Paulo Innovation Week 2026. A segunda propõe o conceito de debt cognitivo organizacional (DCO), análogo ao debt técnico em engenharia de software, como ferramenta diagnóstica do acúmulo invisível de degradação decisória. A terceira reposiciona segurança psicológica de variável cultural para condição neurobiológica necessária à operação do córtex pré-frontal. A quarta propõe um framework de auditoria neurobiológica organizacional com quatro dimensões mensuráveis.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2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Palavras-chave: </w:t>
      </w:r>
      <w:r w:rsidDel="00000000" w:rsidR="00000000" w:rsidRPr="00000000">
        <w:rPr>
          <w:rFonts w:ascii="Times New Roman" w:cs="Times New Roman" w:eastAsia="Times New Roman" w:hAnsi="Times New Roman"/>
          <w:sz w:val="24"/>
          <w:szCs w:val="24"/>
          <w:rtl w:val="0"/>
        </w:rPr>
        <w:t xml:space="preserve">segurança psicológica; córtex pré-frontal; debt cognitivo; liderança; neurobiologia organizacional; estresse crônico.</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60" w:before="160" w:lineRule="auto"/>
        <w:jc w:val="left"/>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debate on leadership and artificial intelligence tends to operate in two registers that, together, produce a blind spot: either asserting that human judgment is categorically irreplaceable, or describing automation risks. Both deal with categories. Neither answers the question about concrete instances: is the instrument, the judgment of specific leaders in specific organizations, actually functioning? This theoretical essay departs from this distinction, formulated by Marzagão (2026), to develop four contributions. The first deepens the neurobiological mechanism by which chronic stress degrades the prefrontal cortex, integrating Arnsten, Damasio, and Kahneman with evidence from SPIW 2026. The second proposes the concept of organizational cognitive debt (OCD), analogous to technical debt in software engineering, as a diagnostic tool for the invisible accumulation of decisional degradation. The third repositions psychological safety from a cultural variable to a neurobiological condition necessary for prefrontal cortex operation. The fourth proposes an organizational neurobiological audit framework with four measurable dimensions.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20" w:before="0" w:line="36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psychological safety; prefrontal cortex; cognitive debt; leadership; organizational neurobiology; chronic stress.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1B">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1. O PROBLEMA QUE OS DADOS DESCREVEM</w:t>
      </w:r>
      <w:r w:rsidDel="00000000" w:rsidR="00000000" w:rsidRPr="00000000">
        <w:rPr>
          <w:rtl w:val="0"/>
        </w:rPr>
      </w:r>
    </w:p>
    <w:p w:rsidR="00000000" w:rsidDel="00000000" w:rsidP="00000000" w:rsidRDefault="00000000" w:rsidRPr="00000000" w14:paraId="0000001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Neil Redding apresentou na São Paulo Innovation Week 2026 um dado que merece mais atenção do que recebeu. Em 84% das organizações que implementaram agentes de IA, nenhuma função foi redesenhada. A IA chegou como camada adicional empilhada sobre o que já existia.</w:t>
      </w:r>
      <w:r w:rsidDel="00000000" w:rsidR="00000000" w:rsidRPr="00000000">
        <w:rPr>
          <w:rtl w:val="0"/>
        </w:rPr>
      </w:r>
    </w:p>
    <w:p w:rsidR="00000000" w:rsidDel="00000000" w:rsidP="00000000" w:rsidRDefault="00000000" w:rsidRPr="00000000" w14:paraId="0000001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custo desse modelo foi quantificado. Pesquisa do BCG (2025) mediu o que a supervisão intensiva de agentes produz em quem supervisiona: 14% mais esforço mental, 12% mais fadiga, 19% mais sobrecarga de informação. Os pesquisadores nomearam o fenômeno de AI brain fry. O DDI Global Leadership Forecast 2026 mediu o contexto em que esse custo é absorvido: 71% dos líderes sob estresse elevado, 40% considerando deixar seus cargos nos próximos dois anos.</w:t>
      </w:r>
      <w:r w:rsidDel="00000000" w:rsidR="00000000" w:rsidRPr="00000000">
        <w:rPr>
          <w:rtl w:val="0"/>
        </w:rPr>
      </w:r>
    </w:p>
    <w:p w:rsidR="00000000" w:rsidDel="00000000" w:rsidP="00000000" w:rsidRDefault="00000000" w:rsidRPr="00000000" w14:paraId="0000001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Esses números não descrevem uma crise de engajamento. Descrevem uma crise de substrato. A distinção importa porque exige uma categoria diferente de resposta: crises de engajamento se resolvem com intervenções motivacionais; crises de substrato exigem que o mecanismo de produção do julgamento que se quer preservar seja entendido e que as condições para seu funcionamento sejam deliberadamente construídas.</w:t>
      </w:r>
      <w:r w:rsidDel="00000000" w:rsidR="00000000" w:rsidRPr="00000000">
        <w:rPr>
          <w:rtl w:val="0"/>
        </w:rPr>
      </w:r>
    </w:p>
    <w:p w:rsidR="00000000" w:rsidDel="00000000" w:rsidP="00000000" w:rsidRDefault="00000000" w:rsidRPr="00000000" w14:paraId="0000001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Este ensaio desenvolve o argumento em quatro movimentos. A seção 2 descreve o mecanismo neurobiológico de degradação do córtex pré-frontal sob estresse crônico e por que essa degradação é imperceptível ao próprio sujeito. A seção 3 propõe o conceito de debt cognitivo organizacional. A seção 4 reposiciona segurança psicológica como condição neurobiológica. A seção 5 propõe o framework de auditoria neurobiológica organizacional.</w:t>
      </w:r>
      <w:r w:rsidDel="00000000" w:rsidR="00000000" w:rsidRPr="00000000">
        <w:rPr>
          <w:rtl w:val="0"/>
        </w:rPr>
      </w:r>
    </w:p>
    <w:p w:rsidR="00000000" w:rsidDel="00000000" w:rsidP="00000000" w:rsidRDefault="00000000" w:rsidRPr="00000000" w14:paraId="00000020">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2. O MECANISMO DE DEGRADAÇÃO: EIXO HPA, CÓRTEX PRÉ-FRONTAL E SISTEMA 2</w:t>
      </w:r>
      <w:r w:rsidDel="00000000" w:rsidR="00000000" w:rsidRPr="00000000">
        <w:rPr>
          <w:rtl w:val="0"/>
        </w:rPr>
      </w:r>
    </w:p>
    <w:p w:rsidR="00000000" w:rsidDel="00000000" w:rsidP="00000000" w:rsidRDefault="00000000" w:rsidRPr="00000000" w14:paraId="00000021">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2.1 Do cortisol à retração sináptica</w:t>
      </w:r>
      <w:r w:rsidDel="00000000" w:rsidR="00000000" w:rsidRPr="00000000">
        <w:rPr>
          <w:rtl w:val="0"/>
        </w:rPr>
      </w:r>
    </w:p>
    <w:p w:rsidR="00000000" w:rsidDel="00000000" w:rsidP="00000000" w:rsidRDefault="00000000" w:rsidRPr="00000000" w14:paraId="0000002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eixo HPA (hipotálamo-hipófise-adrenal) regula a resposta ao estresse. Sob ameaça percebida, física ou social, o hipotálamo libera CRH, que ativa a hipófise, que estimula as adrenais a produzirem cortisol. Em picos agudos, esse processo é adaptativo. O problema surge quando a resposta se torna crônica.</w:t>
      </w:r>
      <w:r w:rsidDel="00000000" w:rsidR="00000000" w:rsidRPr="00000000">
        <w:rPr>
          <w:rtl w:val="0"/>
        </w:rPr>
      </w:r>
    </w:p>
    <w:p w:rsidR="00000000" w:rsidDel="00000000" w:rsidP="00000000" w:rsidRDefault="00000000" w:rsidRPr="00000000" w14:paraId="0000002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Arnsten (2009, 2015) documentou que a exposição prolongada ao cortisol produz retração das espinhas dendríticas nos neurônios piramidais da camada III do PFC e supressão dos receptores D1 e alfa-2A, que mediam as projeções dopaminérgicas e noradrenérgicas sustentadoras de memória de trabalho. Em termos funcionais: a rede neural que sustenta planejamento de longo prazo, inibição de respostas impulsivas, tomada de decisão sob incerteza e regulação emocional perde capacidade de integração.</w:t>
      </w:r>
      <w:r w:rsidDel="00000000" w:rsidR="00000000" w:rsidRPr="00000000">
        <w:rPr>
          <w:rtl w:val="0"/>
        </w:rPr>
      </w:r>
    </w:p>
    <w:p w:rsidR="00000000" w:rsidDel="00000000" w:rsidP="00000000" w:rsidRDefault="00000000" w:rsidRPr="00000000" w14:paraId="0000002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característica mais insidiosa desse processo é que a degradação é imperceptível ao próprio sujeito. O PFC comprometido não pode avaliar seu próprio comprometimento porque o instrumento de avaliação é o mesmo instrumento que foi comprometido. Esse é o mecanismo molecular por trás do dado clínico da SPIW 2026: o board de oito executivos, todos medicados, cinco com dois medicamentos, o CEO de 35 anos entre eles. Em geral, esses líderes não sabem que seu julgamento estratégico opera com déficit. Sabem que estão exaustos. A distinção é clinicamente relevante e organizacionalmente crítica.</w:t>
      </w:r>
      <w:r w:rsidDel="00000000" w:rsidR="00000000" w:rsidRPr="00000000">
        <w:rPr>
          <w:rtl w:val="0"/>
        </w:rPr>
      </w:r>
    </w:p>
    <w:p w:rsidR="00000000" w:rsidDel="00000000" w:rsidP="00000000" w:rsidRDefault="00000000" w:rsidRPr="00000000" w14:paraId="00000025">
      <w:pPr>
        <w:pStyle w:val="Heading2"/>
        <w:spacing w:after="80" w:before="240" w:lineRule="auto"/>
        <w:rPr/>
      </w:pPr>
      <w:r w:rsidDel="00000000" w:rsidR="00000000" w:rsidRPr="00000000">
        <w:rPr>
          <w:rFonts w:ascii="Times New Roman" w:cs="Times New Roman" w:eastAsia="Times New Roman" w:hAnsi="Times New Roman"/>
          <w:b w:val="1"/>
          <w:bCs w:val="1"/>
          <w:sz w:val="24"/>
          <w:szCs w:val="24"/>
          <w:rtl w:val="0"/>
        </w:rPr>
        <w:t xml:space="preserve">2.2 Sistema 2 sob ocupação</w:t>
      </w:r>
      <w:r w:rsidDel="00000000" w:rsidR="00000000" w:rsidRPr="00000000">
        <w:rPr>
          <w:rtl w:val="0"/>
        </w:rPr>
      </w:r>
    </w:p>
    <w:p w:rsidR="00000000" w:rsidDel="00000000" w:rsidP="00000000" w:rsidRDefault="00000000" w:rsidRPr="00000000" w14:paraId="0000002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Kahneman (2011) mapeou a distinção entre Sistema 1, rápido e heurístico, e Sistema 2, lento, deliberativo e metabolicamente custoso. O que a articulação com Arnsten acrescenta é o mecanismo pelo qual o Sistema 2 deixa de operar: o cortisol crônico degrada seletivamente as funções pré-frontais que o Sistema 2 requer.</w:t>
      </w:r>
      <w:r w:rsidDel="00000000" w:rsidR="00000000" w:rsidRPr="00000000">
        <w:rPr>
          <w:rtl w:val="0"/>
        </w:rPr>
      </w:r>
    </w:p>
    <w:p w:rsidR="00000000" w:rsidDel="00000000" w:rsidP="00000000" w:rsidRDefault="00000000" w:rsidRPr="00000000" w14:paraId="0000002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consequência organizacional é precisa. Decisões estratégicas tomadas por líderes em estado de esgotamento crônico têm a aparência de deliberação sem ter o conteúdo. O formato é mantido, apresentações, frameworks, reuniões de alinhamento, enquanto o substrato que as alimentaria está comprometido.</w:t>
      </w:r>
      <w:r w:rsidDel="00000000" w:rsidR="00000000" w:rsidRPr="00000000">
        <w:rPr>
          <w:rtl w:val="0"/>
        </w:rPr>
      </w:r>
    </w:p>
    <w:p w:rsidR="00000000" w:rsidDel="00000000" w:rsidP="00000000" w:rsidRDefault="00000000" w:rsidRPr="00000000" w14:paraId="0000002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Damasio (1994) completa o argumento: bom julgamento não é processo puramente cognitivo. Os marcadores somáticos, sinais corporais que integram experiência passada ao julgamento presente, requerem a integridade do PFC ventromedial para operar. Um PFC cronicamente comprometido perde a capacidade de acessar e integrar esse repertório de experiência acumulada no momento exato em que ele seria mais necessário: nas situações de genuína ambiguidade que definem a liderança estratégica.</w:t>
      </w:r>
      <w:r w:rsidDel="00000000" w:rsidR="00000000" w:rsidRPr="00000000">
        <w:rPr>
          <w:rtl w:val="0"/>
        </w:rPr>
      </w:r>
    </w:p>
    <w:p w:rsidR="00000000" w:rsidDel="00000000" w:rsidP="00000000" w:rsidRDefault="00000000" w:rsidRPr="00000000" w14:paraId="00000029">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3. DEBT COGNITIVO ORGANIZACIONAL</w:t>
      </w:r>
      <w:r w:rsidDel="00000000" w:rsidR="00000000" w:rsidRPr="00000000">
        <w:rPr>
          <w:rtl w:val="0"/>
        </w:rPr>
      </w:r>
    </w:p>
    <w:p w:rsidR="00000000" w:rsidDel="00000000" w:rsidP="00000000" w:rsidRDefault="00000000" w:rsidRPr="00000000" w14:paraId="0000002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Na engenharia de software, debt técnico descreve decisões de design que priorizam velocidade de implementação às custas de qualidade arquitetural. O código que funciona mas não foi estruturado de forma manutenível contrai interesse na forma de progressiva dificuldade de modificação e risco crescente de falha. O conceito de debt cognitivo organizacional (DCO) proposto aqui é análogo: o acúmulo invisível de degradação da capacidade decisória que uma organização contrai ao operar sistematicamente com lideranças em condições que deterioram a função pré-frontal.</w:t>
      </w:r>
      <w:r w:rsidDel="00000000" w:rsidR="00000000" w:rsidRPr="00000000">
        <w:rPr>
          <w:rtl w:val="0"/>
        </w:rPr>
      </w:r>
    </w:p>
    <w:p w:rsidR="00000000" w:rsidDel="00000000" w:rsidP="00000000" w:rsidRDefault="00000000" w:rsidRPr="00000000" w14:paraId="0000002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analogia tem precisão estrutural em três dimensões. O DCO, como o debt técnico, é contraído por escolha: frequentemente a escolha implícita de priorizar throughput de decisão sobre qualidade de deliberação. O DCO acumula interesse: a capacidade de reflexão-em-ação que Schon (1983) identificou como central ao aprendizado profissional requer exatamente as condições cognitivas que o DCO degrada. E o DCO não aparece nos indicadores de performance correntes: só se manifesta quando a organização encontra uma situação genuinamente nova que não pode ser processada por heurísticas de Sistema 1.</w:t>
      </w:r>
      <w:r w:rsidDel="00000000" w:rsidR="00000000" w:rsidRPr="00000000">
        <w:rPr>
          <w:rtl w:val="0"/>
        </w:rPr>
      </w:r>
    </w:p>
    <w:p w:rsidR="00000000" w:rsidDel="00000000" w:rsidP="00000000" w:rsidRDefault="00000000" w:rsidRPr="00000000" w14:paraId="0000002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articulação com March (1991) revela o substrato neurobiológico da competency trap. Exploitation, o refinamento do que já se sabe, é predominantemente função de Sistema 1, com baixo custo metabólico e alta resistência ao estresse. Exploration, a geração do que ainda não se sabe, é predominantemente função de Sistema 2 e do PFC, altamente sensível ao comprometimento por estresse crônico. O DCO inclina organizações estruturalmente em direção à exploitation não apenas por incentivos ou métricas: porque o estresse crônico torna a deriva neurologicamente inevitável.</w:t>
      </w:r>
      <w:r w:rsidDel="00000000" w:rsidR="00000000" w:rsidRPr="00000000">
        <w:rPr>
          <w:rtl w:val="0"/>
        </w:rPr>
      </w:r>
    </w:p>
    <w:p w:rsidR="00000000" w:rsidDel="00000000" w:rsidP="00000000" w:rsidRDefault="00000000" w:rsidRPr="00000000" w14:paraId="0000002D">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4. SEGURANÇA PSICOLÓGICA COMO CONDIÇÃO NEUROBIOLÓGICA</w:t>
      </w:r>
      <w:r w:rsidDel="00000000" w:rsidR="00000000" w:rsidRPr="00000000">
        <w:rPr>
          <w:rtl w:val="0"/>
        </w:rPr>
      </w:r>
    </w:p>
    <w:p w:rsidR="00000000" w:rsidDel="00000000" w:rsidP="00000000" w:rsidRDefault="00000000" w:rsidRPr="00000000" w14:paraId="0000002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Amy Edmondson (1999, 2019) propôs segurança psicológica como clima de equipe: a crença compartilhada de que o time é seguro para a tomada de riscos interpessoais. O conceito foi amplamente adotado, mas no processo sofreu uma redução problemática: tornou-se objetivo cultural, disputando espaço com outros objetivos organizacionais e sendo sacrificado quando os trade-offs se tornam explícitos.</w:t>
      </w:r>
      <w:r w:rsidDel="00000000" w:rsidR="00000000" w:rsidRPr="00000000">
        <w:rPr>
          <w:rtl w:val="0"/>
        </w:rPr>
      </w:r>
    </w:p>
    <w:p w:rsidR="00000000" w:rsidDel="00000000" w:rsidP="00000000" w:rsidRDefault="00000000" w:rsidRPr="00000000" w14:paraId="0000002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Segurança psicológica não é primariamente variável cultural. É variável neurobiológica: o estado ambiental que determina se o eixo HPA de um dado indivíduo, num dado contexto, será ativado de forma crônica ou episódica. Ambientes psicologicamente inseguros, caracterizados pelo que Alexandre descreveu na SPIW 2026 como medo de vulnerabilidade, excesso de competitividade, ausência de reconhecimento e liderança emocionalmente inacessível, mantêm o eixo HPA em ativação sustentada. A ameaça social produz o mesmo cortisol que a ameaça física. Lieberman (2013) documentou que exclusão social ativa as mesmas redes cerebrais que a dor física.</w:t>
      </w:r>
      <w:r w:rsidDel="00000000" w:rsidR="00000000" w:rsidRPr="00000000">
        <w:rPr>
          <w:rtl w:val="0"/>
        </w:rPr>
      </w:r>
    </w:p>
    <w:p w:rsidR="00000000" w:rsidDel="00000000" w:rsidP="00000000" w:rsidRDefault="00000000" w:rsidRPr="00000000" w14:paraId="0000003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reposicionamento tem consequências de governança diretas. Se segurança psicológica é variável cultural, ela compete com outros objetivos e pode ser sacrificada. Se é condição neurobiológica, a pré-condição fisiológica para que o instrumento de julgamento opere com integridade, ela assume o status de infraestrutura. Infraestrutura não é cortada sob pressão de resultados porque sem ela os resultados colapsam.</w:t>
      </w:r>
      <w:r w:rsidDel="00000000" w:rsidR="00000000" w:rsidRPr="00000000">
        <w:rPr>
          <w:rtl w:val="0"/>
        </w:rPr>
      </w:r>
    </w:p>
    <w:p w:rsidR="00000000" w:rsidDel="00000000" w:rsidP="00000000" w:rsidRDefault="00000000" w:rsidRPr="00000000" w14:paraId="0000003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Alexandre formulou o argumento clínico com precisão: 'saúde mental não é pagar aplicativo de terapia. O ambiente inseguro não fica seguro porque 900 pessoas da empresa estão fazendo terapia.' A neurobiologia formaliza o mecanismo pelo qual esse argumento é verdadeiro.</w:t>
      </w:r>
      <w:r w:rsidDel="00000000" w:rsidR="00000000" w:rsidRPr="00000000">
        <w:rPr>
          <w:rtl w:val="0"/>
        </w:rPr>
      </w:r>
    </w:p>
    <w:p w:rsidR="00000000" w:rsidDel="00000000" w:rsidP="00000000" w:rsidRDefault="00000000" w:rsidRPr="00000000" w14:paraId="00000032">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5. FRAMEWORK DE AUDITORIA NEUROBIOLÓGICA ORGANIZACIONAL</w:t>
      </w:r>
      <w:r w:rsidDel="00000000" w:rsidR="00000000" w:rsidRPr="00000000">
        <w:rPr>
          <w:rtl w:val="0"/>
        </w:rPr>
      </w:r>
    </w:p>
    <w:p w:rsidR="00000000" w:rsidDel="00000000" w:rsidP="00000000" w:rsidRDefault="00000000" w:rsidRPr="00000000" w14:paraId="0000003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framework de Auditoria Neurobiológica Organizacional (ANO) compreende quatro dimensões mensuráveis, orientadas a tornar visível o que os indicadores correntes ocultam.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Dimensão 1: carga alostática da liderança. Trata-se da medida proxy do nível de ativação crônica do eixo HPA, incluindo variabilidade da frequência cardíaca (HRV), autorrelato estruturado de estresse crônico via PSS-10 e indicadores clínicos indiretos como prevalência de uso de medicação psiquiátrica e qualidade do sono. O dado da SPIW 2026, oito executivos todos medicados, é o tipo de evidência que a Dimensão 1 tornaria sistemática antes de se tornar crise clínica.</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Dimensão 2: densidade de ameaça social percebida. Trata-se da segurança psicológica por nível hierárquico e por time, usando as escalas de Edmondson ou variantes validadas, vinculada explicitamente à Dimensão 1 para verificar a hipótese de que ambientes de baixa segurança produzem métricas de carga alostática elevadas.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Dimensão 3: arquitetura de recuperação. Trata-se da presença ou ausência de ciclos deliberados de recuperação cognitiva no design do trabalho. Recuperação cognitiva não é descanso: é a oportunidade de ativação do default mode network em estado de baixa demanda dirigida, condição neurológica necessária para consolidação de memória, processamento de experiência e geração não-intencional de conexões novas.</w:t>
      </w:r>
      <w:r w:rsidDel="00000000" w:rsidR="00000000" w:rsidRPr="00000000">
        <w:rPr>
          <w:rtl w:val="0"/>
        </w:rPr>
      </w:r>
    </w:p>
    <w:p w:rsidR="00000000" w:rsidDel="00000000" w:rsidP="00000000" w:rsidRDefault="00000000" w:rsidRPr="00000000" w14:paraId="0000003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Dimensão 4: proporção de deliberação real. Trata-se da aproximação da proporção de decisões estratégicas tomadas em condições que permitem deliberação de Sistema 2 versus condições de sobrecarga que forçam heurística de Sistema 1. É avaliada por indicadores como tempo disponível para decisão, acesso a informação de qualidade e qualidade do debate registrado.</w:t>
      </w:r>
      <w:r w:rsidDel="00000000" w:rsidR="00000000" w:rsidRPr="00000000">
        <w:rPr>
          <w:rtl w:val="0"/>
        </w:rPr>
      </w:r>
    </w:p>
    <w:p w:rsidR="00000000" w:rsidDel="00000000" w:rsidP="00000000" w:rsidRDefault="00000000" w:rsidRPr="00000000" w14:paraId="0000003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paradoxo que Marzagão (2026) formula, organizações que mais precisam de liderança de qualidade operam nas condições que mais a degradam, não é resolvido pela ANO. É tornado mensurável. O que é mensurável pode ser governado. O que permanece invisível, como o DCO, acumula até que o custo se torne insuportável, frequentemente no momento em que a organização toma uma decisão estratégica crítica com o instrumento comprometido sem saber que o comprometimento já ocorreu.</w:t>
      </w:r>
      <w:r w:rsidDel="00000000" w:rsidR="00000000" w:rsidRPr="00000000">
        <w:rPr>
          <w:rtl w:val="0"/>
        </w:rPr>
      </w:r>
    </w:p>
    <w:p w:rsidR="00000000" w:rsidDel="00000000" w:rsidP="00000000" w:rsidRDefault="00000000" w:rsidRPr="00000000" w14:paraId="00000039">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6. CONSIDERAÇÕES FINAIS</w:t>
      </w:r>
      <w:r w:rsidDel="00000000" w:rsidR="00000000" w:rsidRPr="00000000">
        <w:rPr>
          <w:rtl w:val="0"/>
        </w:rPr>
      </w:r>
    </w:p>
    <w:p w:rsidR="00000000" w:rsidDel="00000000" w:rsidP="00000000" w:rsidRDefault="00000000" w:rsidRPr="00000000" w14:paraId="0000003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Este ensaio partiu da distinção formulada por Marzagão (2026) entre o instrumento como categoria e o instrumento como função concreta para desenvolver três contribuições teóricas: o mecanismo neurobiológico completo da degradação pré-frontal e sua invisibilidade social; o conceito de debt cognitivo organizacional como ferramenta diagnóstica; e o reposicionamento de segurança psicológica de variável cultural para condição neurobiológica necessária.</w:t>
      </w:r>
      <w:r w:rsidDel="00000000" w:rsidR="00000000" w:rsidRPr="00000000">
        <w:rPr>
          <w:rtl w:val="0"/>
        </w:rPr>
      </w:r>
    </w:p>
    <w:p w:rsidR="00000000" w:rsidDel="00000000" w:rsidP="00000000" w:rsidRDefault="00000000" w:rsidRPr="00000000" w14:paraId="0000003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As limitações são pertinentes. O framework ANO é proposta teórica que requer validação: estudos que correlacionem métricas de segurança psicológica com indicadores de carga alostática em contextos organizacionais reais; experimentos de tomada de decisão que mensurem a qualidade do julgamento sob condições de estresse crônico versus recuperado; análises longitudinais que conectem DCO acumulado a qualidade de decisões estratégicas.</w:t>
      </w:r>
      <w:r w:rsidDel="00000000" w:rsidR="00000000" w:rsidRPr="00000000">
        <w:rPr>
          <w:rtl w:val="0"/>
        </w:rPr>
      </w:r>
    </w:p>
    <w:p w:rsidR="00000000" w:rsidDel="00000000" w:rsidP="00000000" w:rsidRDefault="00000000" w:rsidRPr="00000000" w14:paraId="0000003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O que a SPIW 2026 demonstrou, com a força de seus dados clínicos e organizacionais, é que o debate sobre o futuro do julgamento humano na era da IA ainda está predominantemente situado no plano das capacidades e das ferramentas, e muito pouco no plano das condições de operação do instrumento que esse julgamento requer. As condições não são periféricas ao argumento. São o argumento.</w:t>
      </w:r>
      <w:r w:rsidDel="00000000" w:rsidR="00000000" w:rsidRPr="00000000">
        <w:rPr>
          <w:rtl w:val="0"/>
        </w:rPr>
      </w:r>
    </w:p>
    <w:p w:rsidR="00000000" w:rsidDel="00000000" w:rsidP="00000000" w:rsidRDefault="00000000" w:rsidRPr="00000000" w14:paraId="0000003D">
      <w:pPr>
        <w:pBdr>
          <w:bottom w:color="888888" w:space="1" w:sz="4"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1"/>
        <w:spacing w:after="120" w:before="360" w:lineRule="auto"/>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3F">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ALEXANDRE (palestrante). Solidão no trabalho, fadiga relacional e segurança psicológica. São Paulo Innovation Week 2026, 13 maio 2026.</w:t>
      </w:r>
      <w:r w:rsidDel="00000000" w:rsidR="00000000" w:rsidRPr="00000000">
        <w:rPr>
          <w:rtl w:val="0"/>
        </w:rPr>
      </w:r>
    </w:p>
    <w:p w:rsidR="00000000" w:rsidDel="00000000" w:rsidP="00000000" w:rsidRDefault="00000000" w:rsidRPr="00000000" w14:paraId="00000040">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ARNSTEN, A. F. T. Stress signalling pathways that impair prefrontal cortex structure and function. Nature Reviews Neuroscience, v. 10, n. 6, p. 410-422, 2009.</w:t>
      </w:r>
      <w:r w:rsidDel="00000000" w:rsidR="00000000" w:rsidRPr="00000000">
        <w:rPr>
          <w:rtl w:val="0"/>
        </w:rPr>
      </w:r>
    </w:p>
    <w:p w:rsidR="00000000" w:rsidDel="00000000" w:rsidP="00000000" w:rsidRDefault="00000000" w:rsidRPr="00000000" w14:paraId="00000041">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ARNSTEN, A. F. T. Stress weakens prefrontal networks. Nature Neuroscience, v. 18, n. 10, p. 1376-1385, 2015.</w:t>
      </w:r>
      <w:r w:rsidDel="00000000" w:rsidR="00000000" w:rsidRPr="00000000">
        <w:rPr>
          <w:rtl w:val="0"/>
        </w:rPr>
      </w:r>
    </w:p>
    <w:p w:rsidR="00000000" w:rsidDel="00000000" w:rsidP="00000000" w:rsidRDefault="00000000" w:rsidRPr="00000000" w14:paraId="00000042">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BCG. AI at Work: Managing the Human Side of the AI Revolution. Boston Consulting Group, 2025.</w:t>
      </w:r>
      <w:r w:rsidDel="00000000" w:rsidR="00000000" w:rsidRPr="00000000">
        <w:rPr>
          <w:rtl w:val="0"/>
        </w:rPr>
      </w:r>
    </w:p>
    <w:p w:rsidR="00000000" w:rsidDel="00000000" w:rsidP="00000000" w:rsidRDefault="00000000" w:rsidRPr="00000000" w14:paraId="00000043">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DAMASIO, A. O erro de Descartes. São Paulo: Companhia das Letras, 1994.</w:t>
      </w:r>
      <w:r w:rsidDel="00000000" w:rsidR="00000000" w:rsidRPr="00000000">
        <w:rPr>
          <w:rtl w:val="0"/>
        </w:rPr>
      </w:r>
    </w:p>
    <w:p w:rsidR="00000000" w:rsidDel="00000000" w:rsidP="00000000" w:rsidRDefault="00000000" w:rsidRPr="00000000" w14:paraId="00000044">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DDI. Global Leadership Forecast 2026. Development Dimensions International, 2026.</w:t>
      </w:r>
      <w:r w:rsidDel="00000000" w:rsidR="00000000" w:rsidRPr="00000000">
        <w:rPr>
          <w:rtl w:val="0"/>
        </w:rPr>
      </w:r>
    </w:p>
    <w:p w:rsidR="00000000" w:rsidDel="00000000" w:rsidP="00000000" w:rsidRDefault="00000000" w:rsidRPr="00000000" w14:paraId="00000045">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EDMONDSON, A. Psychological safety and learning behavior in work teams. Administrative Science Quarterly, v. 44, n. 2, p. 350-383, 1999.</w:t>
      </w:r>
      <w:r w:rsidDel="00000000" w:rsidR="00000000" w:rsidRPr="00000000">
        <w:rPr>
          <w:rtl w:val="0"/>
        </w:rPr>
      </w:r>
    </w:p>
    <w:p w:rsidR="00000000" w:rsidDel="00000000" w:rsidP="00000000" w:rsidRDefault="00000000" w:rsidRPr="00000000" w14:paraId="00000046">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EDMONDSON, A. The fearless organization. Hoboken: Wiley, 2019.</w:t>
      </w:r>
      <w:r w:rsidDel="00000000" w:rsidR="00000000" w:rsidRPr="00000000">
        <w:rPr>
          <w:rtl w:val="0"/>
        </w:rPr>
      </w:r>
    </w:p>
    <w:p w:rsidR="00000000" w:rsidDel="00000000" w:rsidP="00000000" w:rsidRDefault="00000000" w:rsidRPr="00000000" w14:paraId="00000047">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HAN, B.-C. Sociedade do cansaço. Petrópolis: Vozes, 2015 [2010].</w:t>
      </w:r>
      <w:r w:rsidDel="00000000" w:rsidR="00000000" w:rsidRPr="00000000">
        <w:rPr>
          <w:rtl w:val="0"/>
        </w:rPr>
      </w:r>
    </w:p>
    <w:p w:rsidR="00000000" w:rsidDel="00000000" w:rsidP="00000000" w:rsidRDefault="00000000" w:rsidRPr="00000000" w14:paraId="00000048">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KAHNEMAN, D. Thinking, fast and slow. New York: Farrar, Straus and Giroux, 2011.</w:t>
      </w:r>
      <w:r w:rsidDel="00000000" w:rsidR="00000000" w:rsidRPr="00000000">
        <w:rPr>
          <w:rtl w:val="0"/>
        </w:rPr>
      </w:r>
    </w:p>
    <w:p w:rsidR="00000000" w:rsidDel="00000000" w:rsidP="00000000" w:rsidRDefault="00000000" w:rsidRPr="00000000" w14:paraId="00000049">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KEGAN, R. In over our heads. Cambridge: Harvard University Press, 1994.</w:t>
      </w:r>
      <w:r w:rsidDel="00000000" w:rsidR="00000000" w:rsidRPr="00000000">
        <w:rPr>
          <w:rtl w:val="0"/>
        </w:rPr>
      </w:r>
    </w:p>
    <w:p w:rsidR="00000000" w:rsidDel="00000000" w:rsidP="00000000" w:rsidRDefault="00000000" w:rsidRPr="00000000" w14:paraId="0000004A">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KRENAK, A. Ideias para adiar o fim do mundo. São Paulo: Companhia das Letras, 2019.</w:t>
      </w:r>
      <w:r w:rsidDel="00000000" w:rsidR="00000000" w:rsidRPr="00000000">
        <w:rPr>
          <w:rtl w:val="0"/>
        </w:rPr>
      </w:r>
    </w:p>
    <w:p w:rsidR="00000000" w:rsidDel="00000000" w:rsidP="00000000" w:rsidRDefault="00000000" w:rsidRPr="00000000" w14:paraId="0000004B">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LIEBERMAN, M. D. Social: Why our brains are wired to connect. New York: Crown Publishers, 2013.</w:t>
      </w:r>
      <w:r w:rsidDel="00000000" w:rsidR="00000000" w:rsidRPr="00000000">
        <w:rPr>
          <w:rtl w:val="0"/>
        </w:rPr>
      </w:r>
    </w:p>
    <w:p w:rsidR="00000000" w:rsidDel="00000000" w:rsidP="00000000" w:rsidRDefault="00000000" w:rsidRPr="00000000" w14:paraId="0000004C">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MARCH, J. G. Exploration and exploitation in organizational learning. Organization Science, v. 2, n. 1, p. 71-87, 1991.</w:t>
      </w:r>
      <w:r w:rsidDel="00000000" w:rsidR="00000000" w:rsidRPr="00000000">
        <w:rPr>
          <w:rtl w:val="0"/>
        </w:rPr>
      </w:r>
    </w:p>
    <w:p w:rsidR="00000000" w:rsidDel="00000000" w:rsidP="00000000" w:rsidRDefault="00000000" w:rsidRPr="00000000" w14:paraId="0000004D">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MARZAGÃO, D. O instrumento intacto. LinkedIn, 17 maio 2026.</w:t>
      </w:r>
      <w:r w:rsidDel="00000000" w:rsidR="00000000" w:rsidRPr="00000000">
        <w:rPr>
          <w:rtl w:val="0"/>
        </w:rPr>
      </w:r>
    </w:p>
    <w:p w:rsidR="00000000" w:rsidDel="00000000" w:rsidP="00000000" w:rsidRDefault="00000000" w:rsidRPr="00000000" w14:paraId="0000004E">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POLANYI, M. The tacit dimension. Garden City: Doubleday, 1966.</w:t>
      </w:r>
      <w:r w:rsidDel="00000000" w:rsidR="00000000" w:rsidRPr="00000000">
        <w:rPr>
          <w:rtl w:val="0"/>
        </w:rPr>
      </w:r>
    </w:p>
    <w:p w:rsidR="00000000" w:rsidDel="00000000" w:rsidP="00000000" w:rsidRDefault="00000000" w:rsidRPr="00000000" w14:paraId="0000004F">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REDDING, N. Palestra: AI agents and the future of work. São Paulo Innovation Week 2026, 13 maio 2026.</w:t>
      </w:r>
      <w:r w:rsidDel="00000000" w:rsidR="00000000" w:rsidRPr="00000000">
        <w:rPr>
          <w:rtl w:val="0"/>
        </w:rPr>
      </w:r>
    </w:p>
    <w:p w:rsidR="00000000" w:rsidDel="00000000" w:rsidP="00000000" w:rsidRDefault="00000000" w:rsidRPr="00000000" w14:paraId="00000050">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SCHON, D. A. The reflective practitioner. New York: Basic Books, 1983.</w:t>
      </w:r>
      <w:r w:rsidDel="00000000" w:rsidR="00000000" w:rsidRPr="00000000">
        <w:rPr>
          <w:rtl w:val="0"/>
        </w:rPr>
      </w:r>
    </w:p>
    <w:p w:rsidR="00000000" w:rsidDel="00000000" w:rsidP="00000000" w:rsidRDefault="00000000" w:rsidRPr="00000000" w14:paraId="00000051">
      <w:pPr>
        <w:spacing w:after="80" w:before="0" w:line="300" w:lineRule="auto"/>
        <w:ind w:left="0" w:hanging="720"/>
        <w:jc w:val="both"/>
        <w:rPr/>
      </w:pPr>
      <w:r w:rsidDel="00000000" w:rsidR="00000000" w:rsidRPr="00000000">
        <w:rPr>
          <w:rFonts w:ascii="Times New Roman" w:cs="Times New Roman" w:eastAsia="Times New Roman" w:hAnsi="Times New Roman"/>
          <w:sz w:val="20"/>
          <w:szCs w:val="20"/>
          <w:rtl w:val="0"/>
        </w:rPr>
        <w:t xml:space="preserve">WEICK, K. E. Sensemaking in organizations. Thousand Oaks: Sage, 1995.</w:t>
      </w:r>
      <w:r w:rsidDel="00000000" w:rsidR="00000000" w:rsidRPr="00000000">
        <w:rPr>
          <w:rtl w:val="0"/>
        </w:rPr>
      </w:r>
    </w:p>
    <w:sectPr>
      <w:footerReference r:id="rId6"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