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Arial" w:cs="Arial" w:eastAsia="Arial" w:hAnsi="Arial"/>
          <w:b/>
          <w:bCs/>
          <w:sz w:val="28"/>
          <w:szCs w:val="28"/>
        </w:rPr>
        <w:t xml:space="preserve">3 MATERIAIS E MÉTODOS</w:t>
      </w:r>
    </w:p>
    <w:p>
      <w:pPr>
        <w:spacing w:after="120" w:line="360"/>
        <w:jc w:val="both"/>
      </w:pPr>
      <w:r>
        <w:t xml:space="preserve">Este capítulo descreve os materiais e os métodos que serão utilizados para conduzir esta pesquisa. Apresentam-se, em sequência, as ferramentas e bibliotecas empregadas no desenvolvimento, a base de dados de regras Sigma utilizada como referência, as três estratégias incrementais de geração que constituem o objeto de comparação do trabalho, as métricas de avaliação adotadas e, por fim, a formulação das hipóteses e o procedimento de análise estatística.</w:t>
      </w:r>
    </w:p>
    <w:p>
      <w:pPr>
        <w:spacing w:after="120" w:line="360"/>
        <w:jc w:val="both"/>
      </w:pPr>
      <w:r>
        <w:t xml:space="preserve">O trabalho caracteriza-se como uma pesquisa de natureza aplicada, com abordagem quantitativa e desenho experimental controlado: a variável independente é a estratégia de geração (zero-shot, engenharia de prompt e agente autônomo com RAG), enquanto as variáveis dependentes são as métricas de qualidade das regras geradas. Como todas as estratégias são aplicadas ao mesmo conjunto de entradas, obtêm-se dados pareados (medidas repetidas), o que reduz a variância experimental e fundamenta a escolha dos testes estatísticos descritos na Seção 3.5.</w:t>
      </w:r>
    </w:p>
    <w:p>
      <w:pPr>
        <w:pStyle w:val="Heading2"/>
        <w:spacing w:after="180" w:before="280"/>
      </w:pPr>
      <w:r>
        <w:rPr>
          <w:rFonts w:ascii="Arial" w:cs="Arial" w:eastAsia="Arial" w:hAnsi="Arial"/>
          <w:b/>
          <w:bCs/>
          <w:sz w:val="26"/>
          <w:szCs w:val="26"/>
        </w:rPr>
        <w:t xml:space="preserve">3.1 Materiais</w:t>
      </w:r>
    </w:p>
    <w:p>
      <w:pPr>
        <w:spacing w:after="120" w:line="360"/>
        <w:jc w:val="both"/>
      </w:pPr>
      <w:r>
        <w:t xml:space="preserve">No Quadro 2 são apresentadas as tecnologias necessárias para o desenvolvimento deste trabalho, com a respectiva versão de referência, o endereço de obtenção e a finalidade no contexto da pesquisa. A escolha pelo conjunto de ferramentas de código aberto justifica-se por três fatores: a reprodutibilidade do experimento, a possibilidade de execução local — preservando a confidencialidade dos prompts, requisito relevante em pesquisas de cibersegurança — e a gratuidade, compatível com o contexto de um trabalho de conclusão de curso.</w:t>
      </w:r>
    </w:p>
    <w:p>
      <w:pPr>
        <w:spacing w:after="80" w:before="200"/>
        <w:jc w:val="left"/>
      </w:pPr>
      <w:r>
        <w:rPr>
          <w:b/>
          <w:bCs/>
        </w:rPr>
        <w:t xml:space="preserve">Quadro 2 — Materiais utilizados no desenvolvimento do trabalho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700"/>
        <w:gridCol w:w="3660"/>
      </w:tblGrid>
      <w:tr>
        <w:trPr>
          <w:tblHeader/>
        </w:trPr>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b/>
                <w:bCs/>
                <w:sz w:val="20"/>
                <w:szCs w:val="20"/>
              </w:rPr>
              <w:t xml:space="preserve">Ferramenta</w:t>
            </w:r>
          </w:p>
        </w:tc>
        <w:tc>
          <w:tcPr>
            <w:tcW w:type="dxa" w:w="1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b/>
                <w:bCs/>
                <w:sz w:val="20"/>
                <w:szCs w:val="20"/>
              </w:rPr>
              <w:t xml:space="preserve">Versão</w:t>
            </w:r>
          </w:p>
        </w:tc>
        <w:tc>
          <w:tcPr>
            <w:tcW w:type="dxa" w:w="2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b/>
                <w:bCs/>
                <w:sz w:val="20"/>
                <w:szCs w:val="20"/>
              </w:rPr>
              <w:t xml:space="preserve">Disponível em</w:t>
            </w:r>
          </w:p>
        </w:tc>
        <w:tc>
          <w:tcPr>
            <w:tcW w:type="dxa" w:w="36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b/>
                <w:bCs/>
                <w:sz w:val="20"/>
                <w:szCs w:val="20"/>
              </w:rPr>
              <w:t xml:space="preserve">Finalidade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Python</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3.11+</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https://www.python.org/</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Linguagem utilizada para implementar o agente, os scripts de geração e os procedimentos de avaliação.</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LangChain</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0.3.x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https://www.langchain.com/</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Framework de orquestração para aplicações baseadas em LLMs, fornecendo abstrações para prompts, retrievers e cadeias de execução.</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LangGraph</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0.2.x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https://langchain-ai.github.io/langgraph/</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Biblioteca utilizada para modelar o agente como uma máquina de estados, com nós, arestas condicionais e estado compartilhado.</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Ollama</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0.5.x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https://ollama.com/</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Servidor local para inferência de LLMs de código aberto, permitindo executar o modelo gerador em hardware do próprio pesquisador.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Llama 3.1 (8B Instruct)</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8B</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https://huggingface.co/meta-llama/Llama-3.1-8B-Instruct</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Modelo de linguagem de grande escala utilizado como gerador de regras Sigma nas três estratégias avaliadas.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Qwen 2.5 (1.5B)</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1.5B</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https://ollama.com/library/qwen2.5</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Modelo alternativo utilizado em hardware com restrição de memória durante a fase de prototipação.</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sentence-transformers (all-MiniLM-L6-v2)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2.x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https://huggingface.co/sentence-transformers/all-MiniLM-L6-v2</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Modelo de embeddings utilizado para vetorização das regras Sigma e cálculo da similaridade semântica.</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ChromaDB</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0.5.x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https://www.trychroma.com/</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Banco de dados vetorial utilizado para armazenar os embeddings das regras Sigma e suportar a recuperação por similaridade no mecanismo de RAG.</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pySigma</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0.11.x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https://github.com/SigmaHQ/pySigma</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Biblioteca oficial mantida pela SigmaHQ utilizada para validação semântica e estrutural das regras geradas.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sigma-cli</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1.x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https://github.com/SigmaHQ/sigma-cli</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Ferramenta de linha de comando que utiliza o pySigma, empregada como referência cruzada para validação.</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PyYAML</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6.x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https://pyyaml.org/</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Biblioteca para análise sintática (parsing) de YAML, utilizada como primeira camada de validação das regras geradas.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SciPy / statsmodels</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1.13.x / 0.14.x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https://scipy.org/  e  https://www.statsmodels.org/</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Bibliotecas utilizadas para os testes estatísticos de hipóteses (McNemar, Q de Cochran, teste t pareado e ANOVA de medidas repetidas).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scikit-learn</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1.5.x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https://scikit-learn.org/</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Utilizada para cálculo da similaridade do cosseno e demais métricas de avaliação.</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Visual Studio Code</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1.9x</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https://code.visualstudio.com/</w:t>
            </w:r>
          </w:p>
        </w:tc>
        <w:tc>
          <w:tcPr>
            <w:tcW w:type="dxa" w:w="3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Ambiente de desenvolvimento integrado utilizado para a implementação dos códigos.</w:t>
            </w:r>
          </w:p>
        </w:tc>
      </w:tr>
    </w:tbl>
    <w:p>
      <w:pPr>
        <w:spacing w:after="200" w:before="60"/>
        <w:jc w:val="left"/>
      </w:pPr>
      <w:r>
        <w:rPr>
          <w:i/>
          <w:iCs/>
          <w:sz w:val="20"/>
          <w:szCs w:val="20"/>
        </w:rPr>
        <w:t xml:space="preserve">Fonte: Elaborado pela autora (2026).</w:t>
      </w:r>
    </w:p>
    <w:p>
      <w:pPr>
        <w:spacing w:after="120" w:line="360"/>
        <w:jc w:val="both"/>
      </w:pPr>
      <w:r>
        <w:t xml:space="preserve">A linguagem de programação Python foi escolhida pela maturidade de seu ecossistema em processamento de linguagem natural e aprendizado de máquina, bem como pelo fato de o pySigma — biblioteca oficial mantida pela SigmaHQ — ser nativamente Python. O LangChain, em conjunto com o LangGraph, fornece as abstrações necessárias para representar o agente como uma máquina de estados explícita, com nós, arestas condicionais e estado compartilhado entre etapas, conforme detalhado na Seção 3.3.3.</w:t>
      </w:r>
    </w:p>
    <w:p>
      <w:pPr>
        <w:spacing w:after="120" w:line="360"/>
        <w:jc w:val="both"/>
      </w:pPr>
      <w:r>
        <w:t xml:space="preserve">O modelo Llama 3.1 8B Instruct foi selecionado como o modelo gerador padrão por representar um equilíbrio adequado entre qualidade de saída e custo computacional. Trata-se de um modelo de pesos abertos com 8 bilhões de parâmetros, 32 camadas Transformer e janela de contexto de 131.072 tokens (Grattafiori et al., 2024), passível de execução local em hardware de uso pessoal por meio do servidor Ollama. A execução local elimina dependência de APIs comerciais, garante a reprodutibilidade exata dos experimentos e preserva a confidencialidade de eventuais informações sensíveis nos prompts. Em situações de restrição de memória durante a prototipação, o modelo Qwen 2.5 1.5B foi empregado como alternativa, mantendo-se inalterados os demais componentes do agente.</w:t>
      </w:r>
    </w:p>
    <w:p>
      <w:pPr>
        <w:spacing w:after="120" w:line="360"/>
        <w:jc w:val="both"/>
      </w:pPr>
      <w:r>
        <w:t xml:space="preserve">Para a vetorização das regras Sigma — necessária tanto ao mecanismo de RAG quanto ao cálculo da similaridade semântica utilizada na avaliação — adotou-se o modelo all-MiniLM-L6-v2, do projeto sentence-transformers (Reimers; Gurevych, 2019). Esse modelo, com aproximadamente 22 milhões de parâmetros, produz embeddings de 384 dimensões e foi escolhido pelo baixo custo computacional, pela ampla utilização na literatura como baseline e pela compatibilidade com execução em CPU.</w:t>
      </w:r>
    </w:p>
    <w:p>
      <w:pPr>
        <w:pStyle w:val="Heading2"/>
        <w:spacing w:after="180" w:before="280"/>
      </w:pPr>
      <w:r>
        <w:rPr>
          <w:rFonts w:ascii="Arial" w:cs="Arial" w:eastAsia="Arial" w:hAnsi="Arial"/>
          <w:b/>
          <w:bCs/>
          <w:sz w:val="26"/>
          <w:szCs w:val="26"/>
        </w:rPr>
        <w:t xml:space="preserve">3.2 Base de Dados</w:t>
      </w:r>
    </w:p>
    <w:p>
      <w:pPr>
        <w:spacing w:after="120" w:line="360"/>
        <w:jc w:val="both"/>
      </w:pPr>
      <w:r>
        <w:t xml:space="preserve">A base de dados utilizada nesta pesquisa consiste em regras Sigma obtidas do repositório oficial SigmaHQ (SigmaHQ, 2025), atualmente composto por mais de 3.400 regras escritas em YAML. A partir desse repositório, foram selecionadas 100 regras, particionadas em dois subconjuntos disjuntos: 50 regras destinadas à base de conhecimento (RAG) e 50 regras destinadas à base de teste, conforme apresentado na Tabela 1.</w:t>
      </w:r>
    </w:p>
    <w:p>
      <w:pPr>
        <w:spacing w:after="80" w:before="200"/>
        <w:jc w:val="left"/>
      </w:pPr>
      <w:r>
        <w:rPr>
          <w:b/>
          <w:bCs/>
        </w:rPr>
        <w:t xml:space="preserve">Tabela 1 — Particionamento da base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b/>
                <w:bCs/>
                <w:sz w:val="20"/>
                <w:szCs w:val="20"/>
              </w:rPr>
              <w:t xml:space="preserve">Subconjunto</w:t>
            </w:r>
          </w:p>
        </w:tc>
        <w:tc>
          <w:tcPr>
            <w:tcW w:type="dxa" w:w="208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b/>
                <w:bCs/>
                <w:sz w:val="20"/>
                <w:szCs w:val="20"/>
              </w:rPr>
              <w:t xml:space="preserve">Quantidade</w:t>
            </w:r>
          </w:p>
        </w:tc>
        <w:tc>
          <w:tcPr>
            <w:tcW w:type="dxa" w:w="41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b/>
                <w:bCs/>
                <w:sz w:val="20"/>
                <w:szCs w:val="20"/>
              </w:rPr>
              <w:t xml:space="preserve">Finalidade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Base de conhecimento (RAG)</w:t>
            </w:r>
          </w:p>
        </w:tc>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50 regras</w:t>
            </w:r>
          </w:p>
        </w:tc>
        <w:tc>
          <w:tcPr>
            <w:tcW w:type="dxa" w:w="4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Vetorizadas no ChromaDB; servem como exemplos few-shot recuperados dinamicamente pelo agente.</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Base de teste</w:t>
            </w:r>
          </w:p>
        </w:tc>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50 regras</w:t>
            </w:r>
          </w:p>
        </w:tc>
        <w:tc>
          <w:tcPr>
            <w:tcW w:type="dxa" w:w="4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Conjunto disjunto do RAG; cada regra fornece o(s) link(s) de referência usado(s) como entrada para a geração nas três estratégias.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Total</w:t>
            </w:r>
          </w:p>
        </w:tc>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100 regras</w:t>
            </w:r>
          </w:p>
        </w:tc>
        <w:tc>
          <w:tcPr>
            <w:tcW w:type="dxa" w:w="4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Selecionadas do repositório oficial SigmaHQ, com diversidade de categorias (Windows, Linux, aplicação, emerging threats).</w:t>
            </w:r>
          </w:p>
        </w:tc>
      </w:tr>
    </w:tbl>
    <w:p>
      <w:pPr>
        <w:spacing w:after="200" w:before="60"/>
        <w:jc w:val="left"/>
      </w:pPr>
      <w:r>
        <w:rPr>
          <w:i/>
          <w:iCs/>
          <w:sz w:val="20"/>
          <w:szCs w:val="20"/>
        </w:rPr>
        <w:t xml:space="preserve">Fonte: Elaborado pela autora (2026).</w:t>
      </w:r>
    </w:p>
    <w:p>
      <w:pPr>
        <w:spacing w:after="120" w:line="360"/>
        <w:jc w:val="both"/>
      </w:pPr>
      <w:r>
        <w:t xml:space="preserve">O princípio metodológico fundamental dessa partição é a separação estrita entre o conjunto utilizado para fornecer exemplos ao agente (base de conhecimento) e o conjunto utilizado para avaliar seu desempenho (base de teste). Essa separação garante que, ao gerar uma regra para uma entrada do conjunto de teste, o agente não tenha acesso, via RAG, à regra-alvo correspondente. Caracteriza-se, portanto, um cenário de generalização zero-shot assistida por RAG: o agente aprende o formato e os padrões a partir das 50 regras da base de conhecimento, mas a lógica da regra-alvo deve ser construída a partir das informações de referência (CVE, notícia de vulnerabilidade ou trecho de log) fornecidas como entrada.</w:t>
      </w:r>
    </w:p>
    <w:p>
      <w:pPr>
        <w:spacing w:after="120" w:line="360"/>
        <w:jc w:val="both"/>
      </w:pPr>
      <w:r>
        <w:t xml:space="preserve">A seleção das 100 regras buscou assegurar diversidade quanto ao logsource (Windows, Linux, aplicação, cloud), à categoria de detecção (process_creation, file_event, registry_event, image_load, network_connection, emerging_threats, entre outras) e ao nível de complexidade da condição. Essa diversidade é importante para que os resultados não fiquem enviesados por um nicho específico do formato Sigma.</w:t>
      </w:r>
    </w:p>
    <w:p>
      <w:pPr>
        <w:pStyle w:val="Heading2"/>
        <w:spacing w:after="180" w:before="280"/>
      </w:pPr>
      <w:r>
        <w:rPr>
          <w:rFonts w:ascii="Arial" w:cs="Arial" w:eastAsia="Arial" w:hAnsi="Arial"/>
          <w:b/>
          <w:bCs/>
          <w:sz w:val="26"/>
          <w:szCs w:val="26"/>
        </w:rPr>
        <w:t xml:space="preserve">3.3 Métodos</w:t>
      </w:r>
    </w:p>
    <w:p>
      <w:pPr>
        <w:spacing w:after="120" w:line="360"/>
        <w:jc w:val="both"/>
      </w:pPr>
      <w:r>
        <w:t xml:space="preserve">O experimento principal consiste na geração, para cada uma das 50 regras da base de teste, de três regras Sigma — uma por estratégia — totalizando 150 artefatos a serem avaliados. As três estratégias representam camadas incrementais de complexidade arquitetural: a primeira fase utiliza a LLM em sua forma mais simples possível (zero-shot), a segunda adiciona engenharia de prompt e a terceira incorpora um agente autônomo com recuperação aumentada por geração (RAG) e validação iterativa. As subseções seguintes detalham cada uma dessas fases.</w:t>
      </w:r>
    </w:p>
    <w:p>
      <w:pPr>
        <w:spacing w:after="120" w:line="360"/>
        <w:jc w:val="both"/>
      </w:pPr>
      <w:r>
        <w:t xml:space="preserve">A figura referente ao fluxograma metodológico (Figura 7) deverá apresentar, em sentido descendente, o conjunto de entradas (referências das 50 regras de teste), as três estratégias de geração em paralelo, as etapas de validação e o módulo de análise estatística que conduz aos resultados finais.</w:t>
      </w:r>
    </w:p>
    <w:p>
      <w:pPr>
        <w:pStyle w:val="Heading3"/>
        <w:spacing w:after="160" w:before="240"/>
      </w:pPr>
      <w:r>
        <w:rPr>
          <w:rFonts w:ascii="Arial" w:cs="Arial" w:eastAsia="Arial" w:hAnsi="Arial"/>
          <w:b/>
          <w:bCs/>
          <w:i w:val="false"/>
          <w:iCs w:val="false"/>
          <w:sz w:val="24"/>
          <w:szCs w:val="24"/>
        </w:rPr>
        <w:t xml:space="preserve">3.3.1 Primeira fase — Geração zero-shot</w:t>
      </w:r>
    </w:p>
    <w:p>
      <w:pPr>
        <w:spacing w:after="120" w:line="360"/>
        <w:jc w:val="both"/>
      </w:pPr>
      <w:r>
        <w:t xml:space="preserve">A primeira fase reproduz o cenário de uso mais simples e direto de uma LLM: o usuário fornece um prompt mínimo, contendo apenas a referência da vulnerabilidade (CVE, notícia ou trecho de log) e uma instrução genérica, sem exemplos nem instruções específicas sobre o formato Sigma. Essa fase representa um usuário inexperiente, sem conhecimento de detection engineering, e funciona como baseline de comparação para as duas fases subsequentes.</w:t>
      </w:r>
    </w:p>
    <w:p>
      <w:pPr>
        <w:spacing w:after="120" w:line="360"/>
        <w:jc w:val="both"/>
      </w:pPr>
      <w:r>
        <w:t xml:space="preserve">Para cada uma das 50 regras de teste, extrai-se da regra original o conjunto de URLs listadas no campo references — que contêm a inteligência sobre ameaças que motivou a criação da regra — e injeta-se esse conteúdo, em conjunto com uma instrução curta do tipo "gere uma regra Sigma para a vulnerabilidade descrita a seguir", no prompt enviado à LLM. A saída é armazenada e posteriormente submetida ao mesmo procedimento de avaliação aplicado às demais fases. Nenhuma correção, exemplo ou validação intermediária é realizada nesta fase.</w:t>
      </w:r>
    </w:p>
    <w:p>
      <w:pPr>
        <w:pStyle w:val="Heading3"/>
        <w:spacing w:after="160" w:before="240"/>
      </w:pPr>
      <w:r>
        <w:rPr>
          <w:rFonts w:ascii="Arial" w:cs="Arial" w:eastAsia="Arial" w:hAnsi="Arial"/>
          <w:b/>
          <w:bCs/>
          <w:i w:val="false"/>
          <w:iCs w:val="false"/>
          <w:sz w:val="24"/>
          <w:szCs w:val="24"/>
        </w:rPr>
        <w:t xml:space="preserve">3.3.2 Segunda fase — Engenharia de prompt</w:t>
      </w:r>
    </w:p>
    <w:p>
      <w:pPr>
        <w:spacing w:after="120" w:line="360"/>
        <w:jc w:val="both"/>
      </w:pPr>
      <w:r>
        <w:t xml:space="preserve">A segunda fase mantém a mesma LLM e o mesmo conjunto de entradas da primeira fase, modificando exclusivamente a estratégia de prompting. O prompt simples é substituído por um prompt cuidadosamente elaborado, contendo: (i) uma descrição estruturada do formato Sigma e dos campos obrigatórios; (ii) instruções explícitas sobre logsource, detection, condition e tags MITRE ATT&amp;CK; (iii) exemplos contrastivos do tipo "padrão correto" versus "erro frequente"; e (iv) restrições determinísticas sobre o formato de saída (apenas YAML, sem comentários adicionais). Essa abordagem encontra-se documentada na literatura como prompt engineering com few-shot contrastivo (Brown et al., 2020; Wei et al., 2022).</w:t>
      </w:r>
    </w:p>
    <w:p>
      <w:pPr>
        <w:spacing w:after="120" w:line="360"/>
        <w:jc w:val="both"/>
      </w:pPr>
      <w:r>
        <w:t xml:space="preserve">O objetivo desta fase é isolar empiricamente o ganho atribuível exclusivamente à qualidade do prompt, mantendo constantes a LLM, as entradas e o procedimento de avaliação. Comparada à primeira fase via teste estatístico pareado (Seção 3.5), permite-se estimar o efeito marginal da engenharia de prompt sobre a qualidade das regras geradas.</w:t>
      </w:r>
    </w:p>
    <w:p>
      <w:pPr>
        <w:pStyle w:val="Heading3"/>
        <w:spacing w:after="160" w:before="240"/>
      </w:pPr>
      <w:r>
        <w:rPr>
          <w:rFonts w:ascii="Arial" w:cs="Arial" w:eastAsia="Arial" w:hAnsi="Arial"/>
          <w:b/>
          <w:bCs/>
          <w:i w:val="false"/>
          <w:iCs w:val="false"/>
          <w:sz w:val="24"/>
          <w:szCs w:val="24"/>
        </w:rPr>
        <w:t xml:space="preserve">3.3.3 Terceira fase — Agente autônomo com RAG e validação iterativa</w:t>
      </w:r>
    </w:p>
    <w:p>
      <w:pPr>
        <w:spacing w:after="120" w:line="360"/>
        <w:jc w:val="both"/>
      </w:pPr>
      <w:r>
        <w:t xml:space="preserve">A terceira fase introduz a camada de maior complexidade arquitetural: um agente autônomo, implementado em LangGraph, que orquestra cinco nós em uma máquina de estados com loop de auto-correção. A arquitetura é resumida a seguir; o detalhamento de cada nó será apresentado nos resultados, junto aos trechos de código relevantes.</w:t>
      </w:r>
    </w:p>
    <w:p>
      <w:pPr>
        <w:pStyle w:val="ListParagraph"/>
        <w:numPr>
          <w:ilvl w:val="0"/>
          <w:numId w:val="2"/>
        </w:numPr>
        <w:spacing w:after="80" w:line="320"/>
        <w:jc w:val="both"/>
      </w:pPr>
      <w:r>
        <w:t xml:space="preserve">Nó 1 — Classificador de entrada: aplica expressões regulares determinísticas para identificar o tipo de input (CVE, hash, URL ou texto livre) e extrair o termo de busca. A opção por classificação determinística, em vez de invocação adicional de LLM, justifica-se pelo menor custo computacional e pela eliminação de alucinações nessa etapa.</w:t>
      </w:r>
    </w:p>
    <w:p>
      <w:pPr>
        <w:pStyle w:val="ListParagraph"/>
        <w:numPr>
          <w:ilvl w:val="0"/>
          <w:numId w:val="2"/>
        </w:numPr>
        <w:spacing w:after="80" w:line="320"/>
        <w:jc w:val="both"/>
      </w:pPr>
      <w:r>
        <w:t xml:space="preserve">Nó 2 — Recuperação aumentada por geração (RAG): consulta o banco vetorial ChromaDB, que contém as 50 regras da base de conhecimento previamente vetorizadas pelo modelo all-MiniLM-L6-v2. Realiza-se uma busca por similaridade do cosseno recuperando os k candidatos mais próximos, sobre os quais é aplicada uma etapa de re-ranking para selecionar os exemplos finais que comporão o contexto few-shot.</w:t>
      </w:r>
    </w:p>
    <w:p>
      <w:pPr>
        <w:pStyle w:val="ListParagraph"/>
        <w:numPr>
          <w:ilvl w:val="0"/>
          <w:numId w:val="2"/>
        </w:numPr>
        <w:spacing w:after="80" w:line="320"/>
        <w:jc w:val="both"/>
      </w:pPr>
      <w:r>
        <w:t xml:space="preserve">Nó 3 — Enriquecimento de contexto externo: consulta fontes públicas de inteligência sobre ameaças (por exemplo, a API do National Vulnerability Database e páginas web indicadas no campo references) para obter informações técnicas adicionais sobre a vulnerabilidade. Essa etapa diferencia o agente das estratégias anteriores ao permitir que a geração se baseie em dados externos e atuais, não disponíveis no parâmetro interno da LLM.</w:t>
      </w:r>
    </w:p>
    <w:p>
      <w:pPr>
        <w:pStyle w:val="ListParagraph"/>
        <w:numPr>
          <w:ilvl w:val="0"/>
          <w:numId w:val="2"/>
        </w:numPr>
        <w:spacing w:after="80" w:line="320"/>
        <w:jc w:val="both"/>
      </w:pPr>
      <w:r>
        <w:t xml:space="preserve">Nó 4 — Gerador: combina o contexto recuperado (RAG e fontes externas) com o prompt estruturado e invoca a LLM para produzir a regra Sigma em formato YAML. Quando o nó é executado dentro do loop de correção (a partir da segunda tentativa), o prompt é enriquecido com a mensagem de erro retornada pelo Nó 5 na iteração anterior, induzindo a LLM a corrigir o problema específico identificado.</w:t>
      </w:r>
    </w:p>
    <w:p>
      <w:pPr>
        <w:pStyle w:val="ListParagraph"/>
        <w:numPr>
          <w:ilvl w:val="0"/>
          <w:numId w:val="2"/>
        </w:numPr>
        <w:spacing w:after="80" w:line="320"/>
        <w:jc w:val="both"/>
      </w:pPr>
      <w:r>
        <w:t xml:space="preserve">Nó 5 — Validação tripla: aplica três camadas sucessivas de validação à regra gerada — (1) análise sintática YAML por meio do PyYAML; (2) verificação estrutural em Python, garantindo a presença de campos obrigatórios (title, logsource, detection, condition) e a validade das tags MITRE ATT&amp;CK contra a taxonomia oficial; e (3) validação semântica pela biblioteca oficial pySigma, que verifica modificadores, referências cruzadas entre detection e condition e a possibilidade de compilação para os back-ends de SIEM suportados. As três camadas são organizadas em funil: etapas mais baratas e específicas precedem as mais caras e gerais.</w:t>
      </w:r>
    </w:p>
    <w:p>
      <w:pPr>
        <w:spacing w:after="120" w:line="360"/>
        <w:jc w:val="both"/>
      </w:pPr>
      <w:r>
        <w:t xml:space="preserve">Um roteador condicional, posicionado após o Nó 5, decide o próximo passo com base no resultado da validação. Em caso de aprovação, o fluxo termina e a regra é persistida. Em caso de reprovação, o estado é retornado ao Nó 4 — agora com a mensagem de erro anexada ao prompt — para uma nova tentativa. Esse ciclo é limitado a um número máximo predefinido de iterações (tipicamente quatro), após o qual a regra é descartada e contabilizada como falha. Esse mecanismo de realimentação caracteriza o agente como um sistema com auto-correção guiada por validação determinística, em contraste com o uso direto da LLM nas fases anteriores.</w:t>
      </w:r>
    </w:p>
    <w:p>
      <w:pPr>
        <w:pStyle w:val="Heading2"/>
        <w:spacing w:after="180" w:before="280"/>
      </w:pPr>
      <w:r>
        <w:rPr>
          <w:rFonts w:ascii="Arial" w:cs="Arial" w:eastAsia="Arial" w:hAnsi="Arial"/>
          <w:b/>
          <w:bCs/>
          <w:sz w:val="26"/>
          <w:szCs w:val="26"/>
        </w:rPr>
        <w:t xml:space="preserve">3.4 Métricas de Avaliação</w:t>
      </w:r>
    </w:p>
    <w:p>
      <w:pPr>
        <w:spacing w:after="120" w:line="360"/>
        <w:jc w:val="both"/>
      </w:pPr>
      <w:r>
        <w:t xml:space="preserve">A avaliação da qualidade das regras geradas combina métricas objetivas, automaticamente calculáveis, e análise qualitativa por amostragem. As métricas quantitativas adotadas são apresentadas no Quadro 3.</w:t>
      </w:r>
    </w:p>
    <w:p>
      <w:pPr>
        <w:spacing w:after="80" w:before="200"/>
        <w:jc w:val="left"/>
      </w:pPr>
      <w:r>
        <w:rPr>
          <w:b/>
          <w:bCs/>
        </w:rPr>
        <w:t xml:space="preserve">Quadro 3 — Métricas de avaliação adotadas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b/>
                <w:bCs/>
                <w:sz w:val="20"/>
                <w:szCs w:val="20"/>
              </w:rPr>
              <w:t xml:space="preserve">Métrica</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b/>
                <w:bCs/>
                <w:sz w:val="20"/>
                <w:szCs w:val="20"/>
              </w:rPr>
              <w:t xml:space="preserve">Tipo</w:t>
            </w:r>
          </w:p>
        </w:tc>
        <w:tc>
          <w:tcPr>
            <w:tcW w:type="dxa" w:w="54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b/>
                <w:bCs/>
                <w:sz w:val="20"/>
                <w:szCs w:val="20"/>
              </w:rPr>
              <w:t xml:space="preserve">Descrição operacional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Taxa de sucesso sintático</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Binária</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Atribui 1 se a regra gerada passa nas três camadas de validação (PyYAML, estrutura mínima, pySigma) e 0 caso contrário.</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Similaridade semântica</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Contínua [0,1]</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Calculada como a similaridade do cosseno entre o embedding da regra gerada e o embedding da regra de referência (padrão-ouro do SigmaHQ).</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Tentativas até aprovação</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Discreta (1–4)</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Aplicável apenas à terceira fase; conta o número de iterações do loop de auto-correção do agente até a regra ser aprovada ou descartada.</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Tempo de geração</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Contínua (s)</w:t>
            </w:r>
          </w:p>
        </w:tc>
        <w:tc>
          <w:tcPr>
            <w:tcW w:type="dxa" w:w="5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Tempo de parede medido do envio do prompt até a obtenção da regra final (ou descarte), para análise de custo computacional.</w:t>
            </w:r>
          </w:p>
        </w:tc>
      </w:tr>
    </w:tbl>
    <w:p>
      <w:pPr>
        <w:spacing w:after="200" w:before="60"/>
        <w:jc w:val="left"/>
      </w:pPr>
      <w:r>
        <w:rPr>
          <w:i/>
          <w:iCs/>
          <w:sz w:val="20"/>
          <w:szCs w:val="20"/>
        </w:rPr>
        <w:t xml:space="preserve">Fonte: Elaborado pela autora (2026).</w:t>
      </w:r>
    </w:p>
    <w:p>
      <w:pPr>
        <w:spacing w:after="120" w:line="360"/>
        <w:jc w:val="both"/>
      </w:pPr>
      <w:r>
        <w:t xml:space="preserve">A taxa de sucesso sintático corresponde à variável dependente binária do experimento. Uma regra é considerada bem-sucedida (valor 1) somente se passar pelas três camadas de validação descritas no Nó 5; caso contrário, recebe valor 0. Essa métrica reflete a capacidade da estratégia de produzir regras tecnicamente válidas e diretamente utilizáveis em um SIEM.</w:t>
      </w:r>
    </w:p>
    <w:p>
      <w:pPr>
        <w:spacing w:after="120" w:line="360"/>
        <w:jc w:val="both"/>
      </w:pPr>
      <w:r>
        <w:t xml:space="preserve">A similaridade semântica avalia o quão próxima a regra gerada está da regra de referência do SigmaHQ. Calcula-se como a similaridade do cosseno entre os embeddings das duas regras, obtidos pelo mesmo modelo all-MiniLM-L6-v2 empregado no RAG. Trata-se de uma métrica contínua no intervalo [0,1], em que valores próximos a 1 indicam alta similaridade semântica. Cabe destacar que essa métrica não substitui a validação sintática: uma regra pode ser semanticamente semelhante à referência e ainda assim inválida, ou vice-versa. As duas métricas, portanto, são complementares.</w:t>
      </w:r>
    </w:p>
    <w:p>
      <w:pPr>
        <w:spacing w:after="120" w:line="360"/>
        <w:jc w:val="both"/>
      </w:pPr>
      <w:r>
        <w:t xml:space="preserve">Adicionalmente, realiza-se análise manual por amostragem em um subconjunto das regras geradas em cada estratégia. Essa análise qualitativa visa identificar padrões de erro, falsos positivos das métricas automáticas (por exemplo, regras válidas mas semanticamente incorretas para a vulnerabilidade-alvo) e ganhos sutis não captados pela similaridade do cosseno.</w:t>
      </w:r>
    </w:p>
    <w:p>
      <w:pPr>
        <w:pStyle w:val="Heading2"/>
        <w:spacing w:after="180" w:before="280"/>
      </w:pPr>
      <w:r>
        <w:rPr>
          <w:rFonts w:ascii="Arial" w:cs="Arial" w:eastAsia="Arial" w:hAnsi="Arial"/>
          <w:b/>
          <w:bCs/>
          <w:sz w:val="26"/>
          <w:szCs w:val="26"/>
        </w:rPr>
        <w:t xml:space="preserve">3.5 Formulação das Hipóteses e Análise Estatística</w:t>
      </w:r>
    </w:p>
    <w:p>
      <w:pPr>
        <w:spacing w:after="120" w:line="360"/>
        <w:jc w:val="both"/>
      </w:pPr>
      <w:r>
        <w:t xml:space="preserve">Para que a comparação entre as três estratégias produza conclusões cientificamente defensáveis, e não impressões subjetivas, formulam-se hipóteses estatísticas formais e aplica-se um conjunto de testes apropriados ao desenho experimental pareado. Define-se o nível de significância em α = 0,05.</w:t>
      </w:r>
    </w:p>
    <w:p>
      <w:pPr>
        <w:spacing w:after="120" w:line="360"/>
        <w:jc w:val="both"/>
      </w:pPr>
      <w:r>
        <w:t xml:space="preserve">As hipóteses gerais do trabalho, em formulação bilateral, são:</w:t>
      </w:r>
    </w:p>
    <w:p>
      <w:pPr>
        <w:pStyle w:val="ListParagraph"/>
        <w:numPr>
          <w:ilvl w:val="0"/>
          <w:numId w:val="2"/>
        </w:numPr>
        <w:spacing w:after="80" w:line="320"/>
        <w:jc w:val="both"/>
      </w:pPr>
      <w:r>
        <w:t xml:space="preserve">Hipótese nula (H₀): não há diferença estatisticamente significativa entre as três estratégias (zero-shot, engenharia de prompt e agente autônomo com RAG) quanto à taxa de sucesso sintático e à similaridade semântica das regras Sigma geradas.</w:t>
      </w:r>
    </w:p>
    <w:p>
      <w:pPr>
        <w:pStyle w:val="ListParagraph"/>
        <w:numPr>
          <w:ilvl w:val="0"/>
          <w:numId w:val="2"/>
        </w:numPr>
        <w:spacing w:after="80" w:line="320"/>
        <w:jc w:val="both"/>
      </w:pPr>
      <w:r>
        <w:t xml:space="preserve">Hipótese alternativa (H₁): existe ao menos um par de estratégias para o qual a diferença em taxa de sucesso sintático ou em similaridade semântica é estatisticamente significativa.</w:t>
      </w:r>
    </w:p>
    <w:p>
      <w:pPr>
        <w:spacing w:after="120" w:line="360"/>
        <w:jc w:val="both"/>
      </w:pPr>
      <w:r>
        <w:t xml:space="preserve">A escolha dos testes considera dois aspectos: a natureza da variável dependente (binária ou contínua) e o fato de que as três estratégias são aplicadas sobre o mesmo conjunto de 50 entradas, configurando medidas repetidas.</w:t>
      </w:r>
    </w:p>
    <w:p>
      <w:pPr>
        <w:spacing w:after="120" w:line="360"/>
        <w:jc w:val="both"/>
      </w:pPr>
      <w:r>
        <w:t xml:space="preserve">Para a taxa de sucesso sintático, variável binária pareada, adota-se o teste Q de Cochran (Cochran, 1950) para a comparação global das três estratégias. Caso o resultado seja estatisticamente significativo (p &lt; 0,05), procede-se a comparações pareadas pós-hoc por meio do teste de McNemar (McNemar, 1947) com correção de Bonferroni, identificando-se quais pares específicos diferem.</w:t>
      </w:r>
    </w:p>
    <w:p>
      <w:pPr>
        <w:spacing w:after="120" w:line="360"/>
        <w:jc w:val="both"/>
      </w:pPr>
      <w:r>
        <w:t xml:space="preserve">Para a similaridade semântica, variável contínua pareada, a primeira etapa consiste na verificação da normalidade da distribuição dos resíduos, por meio do teste de Shapiro-Wilk. Caso a normalidade seja sustentada, aplica-se a ANOVA de medidas repetidas e, em caso de significância global, o teste t pareado pós-hoc com correção de Bonferroni. Caso a normalidade seja rejeitada, adota-se o teste de Friedman como alternativa não paramétrica, seguido do teste de Wilcoxon pareado para as comparações pós-hoc.</w:t>
      </w:r>
    </w:p>
    <w:p>
      <w:pPr>
        <w:spacing w:after="120" w:line="360"/>
        <w:jc w:val="both"/>
      </w:pPr>
      <w:r>
        <w:t xml:space="preserve">Independentemente do resultado do teste de significância, reporta-se o tamanho do efeito (effect size) — em particular o V de Cramér para as métricas binárias e o d de Cohen, ou sua versão pareada, para as contínuas — em conformidade com as recomendações atuais da literatura em estatística aplicada (Cumming, 2014). O tamanho do efeito permite distinguir significância estatística de relevância prática: uma diferença pode ser estatisticamente significativa e, ainda assim, ser pequena demais para justificar a complexidade adicional do agente.</w:t>
      </w:r>
    </w:p>
    <w:p>
      <w:pPr>
        <w:spacing w:after="120" w:line="360"/>
        <w:jc w:val="both"/>
      </w:pPr>
      <w:r>
        <w:t xml:space="preserve">Por fim, a apresentação dos resultados ocorrerá em três níveis: (i) análise descritiva, com tabelas de proporções e médias por estratégia; (ii) análise inferencial, com os valores de estatística de teste, p-valor e tamanho do efeito; e (iii) análise qualitativa, contemplando exemplos representativos de regras geradas em cada estratégia e a discussão dos padrões de erro identificados. Espera-se, com esse desenho, fornecer subsídios empíricos quantitativos para a decisão de design entre as três estratégias incrementais avaliadas, contribuindo para a literatura de geração automatizada de regras de detecção a partir de fontes públicas de inteligência sobre ameaças.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28"/>
      <w:szCs w:val="28"/>
    </w:rPr>
  </w:style>
  <w:style w:type="paragraph" w:styleId="Heading2">
    <w:name w:val="Heading 2"/>
    <w:basedOn w:val="Normal"/>
    <w:next w:val="Normal"/>
    <w:qFormat/>
    <w:pPr>
      <w:spacing w:after="200" w:before="300"/>
      <w:outlineLvl w:val="1"/>
    </w:pPr>
    <w:rPr>
      <w:rFonts w:ascii="Arial" w:cs="Arial" w:eastAsia="Arial" w:hAnsi="Arial"/>
      <w:b/>
      <w:bCs/>
      <w:sz w:val="26"/>
      <w:szCs w:val="26"/>
    </w:rPr>
  </w:style>
  <w:style w:type="paragraph" w:styleId="Heading3">
    <w:name w:val="Heading 3"/>
    <w:basedOn w:val="Normal"/>
    <w:next w:val="Normal"/>
    <w:qFormat/>
    <w:pPr>
      <w:spacing w:after="160" w:before="2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Materiais e Métodos — TCC Daniela Araldi</dc:title>
  <dc:creator>Claude</dc:creator>
  <cp:lastModifiedBy>Un-named</cp:lastModifiedBy>
  <cp:revision>1</cp:revision>
  <dcterms:created xsi:type="dcterms:W3CDTF">2026-06-14T19:53:11.857Z</dcterms:created>
  <dcterms:modified xsi:type="dcterms:W3CDTF">2026-06-14T19:53:11.858Z</dcterms:modified>
</cp:coreProperties>
</file>

<file path=docProps/custom.xml><?xml version="1.0" encoding="utf-8"?>
<Properties xmlns="http://schemas.openxmlformats.org/officeDocument/2006/custom-properties" xmlns:vt="http://schemas.openxmlformats.org/officeDocument/2006/docPropsVTypes"/>
</file>