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9" w:rsidRPr="00363A45" w:rsidRDefault="00F33D05" w:rsidP="00F33D05">
      <w:pPr>
        <w:jc w:val="center"/>
        <w:rPr>
          <w:b/>
          <w:sz w:val="48"/>
          <w:szCs w:val="48"/>
        </w:rPr>
      </w:pPr>
      <w:r w:rsidRPr="00363A45">
        <w:rPr>
          <w:b/>
          <w:sz w:val="48"/>
          <w:szCs w:val="48"/>
        </w:rPr>
        <w:t>DATA ANALYTICS ASSIGNMENT -2</w:t>
      </w:r>
    </w:p>
    <w:p w:rsidR="00F33D05" w:rsidRDefault="00F33D05" w:rsidP="00F33D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MICROSOFT AZURE – TEXT ANALYTICS </w:t>
      </w:r>
    </w:p>
    <w:p w:rsidR="00363A45" w:rsidRDefault="00363A45" w:rsidP="00363A45">
      <w:pPr>
        <w:jc w:val="right"/>
        <w:rPr>
          <w:b/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b/>
          <w:sz w:val="36"/>
          <w:szCs w:val="36"/>
        </w:rPr>
        <w:t>CED15I030</w:t>
      </w:r>
    </w:p>
    <w:p w:rsidR="00363A45" w:rsidRPr="00363A45" w:rsidRDefault="00363A45" w:rsidP="00363A4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ESD15I009</w:t>
      </w:r>
    </w:p>
    <w:p w:rsidR="00F33D05" w:rsidRDefault="00F33D05" w:rsidP="00F33D05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857336" cy="2991752"/>
            <wp:effectExtent l="0" t="0" r="0" b="0"/>
            <wp:docPr id="1" name="Picture 1" descr="Image result for microsoft cognitiv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cognitive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36" cy="299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53" w:rsidRPr="00CE2B12" w:rsidRDefault="00A17653" w:rsidP="00F33D05">
      <w:p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  <w:r w:rsidRPr="00CE2B12">
        <w:rPr>
          <w:rFonts w:ascii="Segoe UI" w:hAnsi="Segoe UI" w:cs="Segoe UI"/>
          <w:b/>
          <w:color w:val="000000"/>
          <w:u w:val="single"/>
          <w:shd w:val="clear" w:color="auto" w:fill="FFFFFF"/>
        </w:rPr>
        <w:t>About:</w:t>
      </w:r>
    </w:p>
    <w:p w:rsidR="00A17653" w:rsidRDefault="00A17653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Text Analytics API is a cloud-based service that provides advanced natural language processing over raw text, and includes sentiment analysis.</w:t>
      </w:r>
      <w:r w:rsidR="001E2447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 API is backed by resources in </w:t>
      </w:r>
      <w:r>
        <w:t>Microsoft cognitive services</w:t>
      </w:r>
      <w:r>
        <w:rPr>
          <w:rFonts w:ascii="Segoe UI" w:hAnsi="Segoe UI" w:cs="Segoe UI"/>
          <w:color w:val="000000"/>
          <w:shd w:val="clear" w:color="auto" w:fill="FFFFFF"/>
        </w:rPr>
        <w:t>, a collection of machine learning and AI algorithms in th</w:t>
      </w:r>
      <w:r w:rsidR="001E2447">
        <w:rPr>
          <w:rFonts w:ascii="Segoe UI" w:hAnsi="Segoe UI" w:cs="Segoe UI"/>
          <w:color w:val="000000"/>
          <w:shd w:val="clear" w:color="auto" w:fill="FFFFFF"/>
        </w:rPr>
        <w:t xml:space="preserve">e cloud, readily consumable in </w:t>
      </w:r>
      <w:r>
        <w:rPr>
          <w:rFonts w:ascii="Segoe UI" w:hAnsi="Segoe UI" w:cs="Segoe UI"/>
          <w:color w:val="000000"/>
          <w:shd w:val="clear" w:color="auto" w:fill="FFFFFF"/>
        </w:rPr>
        <w:t>our development projects.</w:t>
      </w:r>
    </w:p>
    <w:p w:rsidR="001E2447" w:rsidRPr="00CE2B12" w:rsidRDefault="009802BB" w:rsidP="00F33D05">
      <w:p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  <w:r w:rsidRPr="00CE2B12">
        <w:rPr>
          <w:rFonts w:ascii="Segoe UI" w:hAnsi="Segoe UI" w:cs="Segoe UI"/>
          <w:b/>
          <w:color w:val="000000"/>
          <w:u w:val="single"/>
          <w:shd w:val="clear" w:color="auto" w:fill="FFFFFF"/>
        </w:rPr>
        <w:t>X-axis and Y-axis:</w:t>
      </w:r>
    </w:p>
    <w:p w:rsidR="009802BB" w:rsidRDefault="009802BB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 xml:space="preserve">X-axis: </w:t>
      </w:r>
      <w:r>
        <w:rPr>
          <w:rFonts w:ascii="Segoe UI" w:hAnsi="Segoe UI" w:cs="Segoe UI"/>
          <w:color w:val="000000"/>
          <w:shd w:val="clear" w:color="auto" w:fill="FFFFFF"/>
        </w:rPr>
        <w:t>Review Id</w:t>
      </w:r>
    </w:p>
    <w:p w:rsidR="009802BB" w:rsidRDefault="009802BB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9802BB">
        <w:rPr>
          <w:rFonts w:ascii="Segoe UI" w:hAnsi="Segoe UI" w:cs="Segoe UI"/>
          <w:b/>
          <w:color w:val="000000"/>
          <w:shd w:val="clear" w:color="auto" w:fill="FFFFFF"/>
        </w:rPr>
        <w:t>Y-axis:</w:t>
      </w:r>
      <w:r>
        <w:rPr>
          <w:rFonts w:ascii="Segoe UI" w:hAnsi="Segoe UI" w:cs="Segoe UI"/>
          <w:color w:val="000000"/>
          <w:shd w:val="clear" w:color="auto" w:fill="FFFFFF"/>
        </w:rPr>
        <w:t xml:space="preserve"> Percentage of positivity</w:t>
      </w:r>
    </w:p>
    <w:p w:rsidR="00E47BEE" w:rsidRDefault="00E47BEE" w:rsidP="00F33D05">
      <w:p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</w:p>
    <w:p w:rsidR="00E47BEE" w:rsidRDefault="00E47BEE" w:rsidP="00F33D05">
      <w:p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</w:p>
    <w:p w:rsidR="009802BB" w:rsidRPr="00CE2B12" w:rsidRDefault="00FA7DA0" w:rsidP="00F33D05">
      <w:p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  <w:r w:rsidRPr="00CE2B12">
        <w:rPr>
          <w:rFonts w:ascii="Segoe UI" w:hAnsi="Segoe UI" w:cs="Segoe UI"/>
          <w:b/>
          <w:color w:val="000000"/>
          <w:u w:val="single"/>
          <w:shd w:val="clear" w:color="auto" w:fill="FFFFFF"/>
        </w:rPr>
        <w:lastRenderedPageBreak/>
        <w:t>Review Datasets:</w:t>
      </w:r>
    </w:p>
    <w:p w:rsidR="00FA7DA0" w:rsidRDefault="00FA7DA0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Dataset </w:t>
      </w:r>
      <w:r w:rsidR="00CE2B12">
        <w:rPr>
          <w:rFonts w:ascii="Segoe UI" w:hAnsi="Segoe UI" w:cs="Segoe UI"/>
          <w:b/>
          <w:color w:val="000000"/>
          <w:shd w:val="clear" w:color="auto" w:fill="FFFFFF"/>
        </w:rPr>
        <w:t>of</w:t>
      </w:r>
      <w:r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 App: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FA7DA0">
        <w:rPr>
          <w:rFonts w:ascii="Segoe UI" w:hAnsi="Segoe UI" w:cs="Segoe UI"/>
          <w:color w:val="000000"/>
          <w:shd w:val="clear" w:color="auto" w:fill="FFFFFF"/>
        </w:rPr>
        <w:t>App_Reviews_50.csv</w:t>
      </w:r>
    </w:p>
    <w:p w:rsidR="00FA7DA0" w:rsidRDefault="00CE2B12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Dataset of</w:t>
      </w:r>
      <w:r w:rsidR="00FA7DA0"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 Apple products:</w:t>
      </w:r>
      <w:r w:rsidR="00FA7D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A7DA0" w:rsidRPr="00FA7DA0">
        <w:rPr>
          <w:rFonts w:ascii="Segoe UI" w:hAnsi="Segoe UI" w:cs="Segoe UI"/>
          <w:color w:val="000000"/>
          <w:shd w:val="clear" w:color="auto" w:fill="FFFFFF"/>
        </w:rPr>
        <w:t>Apple_Reviews_50.csv</w:t>
      </w:r>
    </w:p>
    <w:p w:rsidR="00FA7DA0" w:rsidRDefault="00CE2B12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Dataset of</w:t>
      </w:r>
      <w:r w:rsidR="00FA7DA0"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 Ford Company:</w:t>
      </w:r>
      <w:r w:rsidR="00FA7D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A7DA0" w:rsidRPr="00FA7DA0">
        <w:rPr>
          <w:rFonts w:ascii="Segoe UI" w:hAnsi="Segoe UI" w:cs="Segoe UI"/>
          <w:color w:val="000000"/>
          <w:shd w:val="clear" w:color="auto" w:fill="FFFFFF"/>
        </w:rPr>
        <w:t>Ford_Reviews_50.csv</w:t>
      </w:r>
    </w:p>
    <w:p w:rsidR="00FA7DA0" w:rsidRDefault="00CE2B12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Dataset of</w:t>
      </w:r>
      <w:r w:rsidR="00FA7DA0"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 Hollywood movie:</w:t>
      </w:r>
      <w:r w:rsidR="00FA7D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A7DA0" w:rsidRPr="00FA7DA0">
        <w:rPr>
          <w:rFonts w:ascii="Segoe UI" w:hAnsi="Segoe UI" w:cs="Segoe UI"/>
          <w:color w:val="000000"/>
          <w:shd w:val="clear" w:color="auto" w:fill="FFFFFF"/>
        </w:rPr>
        <w:t>Movie_Reviews_50.csv</w:t>
      </w:r>
    </w:p>
    <w:p w:rsidR="00FA7DA0" w:rsidRDefault="00CE2B12" w:rsidP="00F33D05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Dataset of</w:t>
      </w:r>
      <w:r w:rsidR="00FA7DA0" w:rsidRPr="00CE2B12">
        <w:rPr>
          <w:rFonts w:ascii="Segoe UI" w:hAnsi="Segoe UI" w:cs="Segoe UI"/>
          <w:b/>
          <w:color w:val="000000"/>
          <w:shd w:val="clear" w:color="auto" w:fill="FFFFFF"/>
        </w:rPr>
        <w:t xml:space="preserve"> Restaurants:</w:t>
      </w:r>
      <w:r w:rsidR="00FA7D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A7DA0" w:rsidRPr="00FA7DA0">
        <w:rPr>
          <w:rFonts w:ascii="Segoe UI" w:hAnsi="Segoe UI" w:cs="Segoe UI"/>
          <w:color w:val="000000"/>
          <w:shd w:val="clear" w:color="auto" w:fill="FFFFFF"/>
        </w:rPr>
        <w:t>Restaurant_Reviews_50.csv</w:t>
      </w:r>
    </w:p>
    <w:p w:rsidR="00E370B2" w:rsidRPr="00E370B2" w:rsidRDefault="00E370B2" w:rsidP="00E370B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5075B8">
        <w:rPr>
          <w:rFonts w:ascii="Segoe UI" w:hAnsi="Segoe UI" w:cs="Segoe UI"/>
          <w:b/>
          <w:color w:val="000000"/>
          <w:u w:val="single"/>
          <w:shd w:val="clear" w:color="auto" w:fill="FFFFFF"/>
        </w:rPr>
        <w:t>Violin plot:</w:t>
      </w:r>
      <w:r w:rsidR="005075B8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370B2">
        <w:rPr>
          <w:rFonts w:ascii="Arial" w:hAnsi="Arial" w:cs="Arial"/>
          <w:color w:val="222222"/>
          <w:sz w:val="21"/>
          <w:szCs w:val="21"/>
        </w:rPr>
        <w:t>A </w:t>
      </w:r>
      <w:r w:rsidRPr="00E370B2">
        <w:rPr>
          <w:rFonts w:ascii="Arial" w:hAnsi="Arial" w:cs="Arial"/>
          <w:b/>
          <w:bCs/>
          <w:color w:val="222222"/>
          <w:sz w:val="21"/>
          <w:szCs w:val="21"/>
        </w:rPr>
        <w:t>violin plot</w:t>
      </w:r>
      <w:r w:rsidRPr="00E370B2">
        <w:rPr>
          <w:rFonts w:ascii="Arial" w:hAnsi="Arial" w:cs="Arial"/>
          <w:color w:val="222222"/>
          <w:sz w:val="21"/>
          <w:szCs w:val="21"/>
        </w:rPr>
        <w:t> is a method of plotting numeric data. It is similar to a box plot with a rotated kernel density plot on each side.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 xml:space="preserve"> </w:t>
      </w:r>
      <w:r w:rsidRPr="00E370B2">
        <w:rPr>
          <w:rFonts w:ascii="Arial" w:hAnsi="Arial" w:cs="Arial"/>
          <w:color w:val="222222"/>
          <w:sz w:val="21"/>
          <w:szCs w:val="21"/>
        </w:rPr>
        <w:t>A violin plot has four layers. The outer shape represents all possible results, with thickness indicating how common. (Thus the thickest sectio</w:t>
      </w:r>
      <w:r>
        <w:rPr>
          <w:rFonts w:ascii="Arial" w:hAnsi="Arial" w:cs="Arial"/>
          <w:color w:val="222222"/>
          <w:sz w:val="21"/>
          <w:szCs w:val="21"/>
        </w:rPr>
        <w:t xml:space="preserve">n represents the mode average.). </w:t>
      </w:r>
      <w:r w:rsidRPr="00E370B2">
        <w:rPr>
          <w:rFonts w:ascii="Arial" w:hAnsi="Arial" w:cs="Arial"/>
          <w:color w:val="222222"/>
          <w:sz w:val="21"/>
          <w:szCs w:val="21"/>
        </w:rPr>
        <w:t>The next layer inside represents the values that occur 95% of the time. The next layer (if it exists) inside represents the values that occur 50% of the time. The central dot represents the median average value.</w:t>
      </w:r>
    </w:p>
    <w:p w:rsidR="00E370B2" w:rsidRDefault="00995CE4" w:rsidP="00E370B2">
      <w:pPr>
        <w:pStyle w:val="ListParagraph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>
            <wp:extent cx="5253487" cy="4150830"/>
            <wp:effectExtent l="0" t="0" r="4445" b="2540"/>
            <wp:docPr id="2" name="Picture 2" descr="C:\Users\JEPRSDD\Desktop\quiz 2\da assignment\Violi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PRSDD\Desktop\quiz 2\da assignment\Violin_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46" cy="41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E4" w:rsidRDefault="00995CE4" w:rsidP="00E370B2">
      <w:pPr>
        <w:pStyle w:val="ListParagraph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995CE4" w:rsidRDefault="00995CE4" w:rsidP="00E370B2">
      <w:pPr>
        <w:pStyle w:val="ListParagraph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995CE4" w:rsidRPr="006665DF" w:rsidRDefault="00995CE4" w:rsidP="006665DF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995CE4" w:rsidRPr="00A861BE" w:rsidRDefault="00995CE4" w:rsidP="00995CE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color w:val="000000"/>
          <w:u w:val="single"/>
          <w:shd w:val="clear" w:color="auto" w:fill="FFFFFF"/>
        </w:rPr>
      </w:pPr>
      <w:r w:rsidRPr="00A861BE">
        <w:rPr>
          <w:rFonts w:ascii="Segoe UI" w:hAnsi="Segoe UI" w:cs="Segoe UI"/>
          <w:b/>
          <w:color w:val="000000"/>
          <w:u w:val="single"/>
          <w:shd w:val="clear" w:color="auto" w:fill="FFFFFF"/>
        </w:rPr>
        <w:lastRenderedPageBreak/>
        <w:t xml:space="preserve">Box – Whisker plot: </w:t>
      </w:r>
    </w:p>
    <w:p w:rsidR="00995CE4" w:rsidRDefault="00995CE4" w:rsidP="00995CE4">
      <w:pPr>
        <w:pStyle w:val="ListParagraph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descriptive statistics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995CE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box plot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 w:rsidRPr="00995CE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boxplot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method for graphically depicting groups of numerical data through their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quartiles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. Box plots may also have lines extending vertically from the boxes (</w:t>
      </w:r>
      <w:r w:rsidRPr="00995CE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whiskers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) indicating variability outside the upper and lower quartiles, hence the terms </w:t>
      </w:r>
      <w:r w:rsidRPr="00995CE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box-and-whisker plot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995CE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box-and-whisker diagram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Outliers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may be plotted as individual points. Box plots are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non-parametric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: they display variation in samples of a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statistical population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without making any assumptions of the underlying </w:t>
      </w:r>
      <w:r w:rsidRPr="00995CE4">
        <w:rPr>
          <w:rFonts w:ascii="Arial" w:hAnsi="Arial" w:cs="Arial"/>
          <w:sz w:val="21"/>
          <w:szCs w:val="21"/>
          <w:shd w:val="clear" w:color="auto" w:fill="FFFFFF"/>
        </w:rPr>
        <w:t>statistical distribution</w:t>
      </w:r>
      <w:r w:rsidRPr="00995C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(though Tukey's boxplot assumes symmetry for the whiskers and normality for their length). </w:t>
      </w:r>
    </w:p>
    <w:p w:rsidR="00995CE4" w:rsidRPr="00995CE4" w:rsidRDefault="00995CE4" w:rsidP="00995CE4"/>
    <w:p w:rsidR="00995CE4" w:rsidRPr="00995CE4" w:rsidRDefault="00995CE4" w:rsidP="00995CE4">
      <w:r>
        <w:tab/>
      </w:r>
      <w:r>
        <w:rPr>
          <w:noProof/>
        </w:rPr>
        <w:drawing>
          <wp:inline distT="0" distB="0" distL="0" distR="0">
            <wp:extent cx="4519930" cy="3571240"/>
            <wp:effectExtent l="0" t="0" r="0" b="0"/>
            <wp:docPr id="4" name="Picture 4" descr="C:\Users\JEPRSDD\Desktop\quiz 2\da assignment\Box_whisk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PRSDD\Desktop\quiz 2\da assignment\Box_whisker_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E4" w:rsidRDefault="00995CE4" w:rsidP="00995CE4"/>
    <w:p w:rsidR="00995CE4" w:rsidRDefault="00995CE4" w:rsidP="00995CE4">
      <w:pPr>
        <w:tabs>
          <w:tab w:val="left" w:pos="1413"/>
        </w:tabs>
      </w:pPr>
      <w:r>
        <w:tab/>
      </w:r>
    </w:p>
    <w:p w:rsidR="00995CE4" w:rsidRDefault="00995CE4" w:rsidP="00995CE4">
      <w:pPr>
        <w:tabs>
          <w:tab w:val="left" w:pos="1413"/>
        </w:tabs>
      </w:pPr>
    </w:p>
    <w:p w:rsidR="00995CE4" w:rsidRDefault="00995CE4" w:rsidP="00995CE4">
      <w:pPr>
        <w:tabs>
          <w:tab w:val="left" w:pos="1413"/>
        </w:tabs>
      </w:pPr>
    </w:p>
    <w:p w:rsidR="00995CE4" w:rsidRDefault="00995CE4" w:rsidP="00995CE4">
      <w:pPr>
        <w:tabs>
          <w:tab w:val="left" w:pos="1413"/>
        </w:tabs>
      </w:pPr>
    </w:p>
    <w:p w:rsidR="00995CE4" w:rsidRDefault="00995CE4" w:rsidP="00995CE4">
      <w:pPr>
        <w:tabs>
          <w:tab w:val="left" w:pos="1413"/>
        </w:tabs>
      </w:pPr>
    </w:p>
    <w:p w:rsidR="00995CE4" w:rsidRDefault="00995CE4" w:rsidP="00995CE4">
      <w:pPr>
        <w:tabs>
          <w:tab w:val="left" w:pos="1413"/>
        </w:tabs>
      </w:pPr>
    </w:p>
    <w:p w:rsidR="00995CE4" w:rsidRPr="00995CE4" w:rsidRDefault="00C02616" w:rsidP="00995CE4">
      <w:pPr>
        <w:pStyle w:val="ListParagraph"/>
        <w:numPr>
          <w:ilvl w:val="0"/>
          <w:numId w:val="1"/>
        </w:numPr>
        <w:tabs>
          <w:tab w:val="left" w:pos="1413"/>
        </w:tabs>
      </w:pPr>
      <w:r>
        <w:rPr>
          <w:b/>
          <w:u w:val="single"/>
        </w:rPr>
        <w:lastRenderedPageBreak/>
        <w:t xml:space="preserve">Bar </w:t>
      </w:r>
      <w:bookmarkStart w:id="0" w:name="_GoBack"/>
      <w:bookmarkEnd w:id="0"/>
      <w:r w:rsidR="00995CE4" w:rsidRPr="00A861BE">
        <w:rPr>
          <w:b/>
          <w:u w:val="single"/>
        </w:rPr>
        <w:t>plot:</w:t>
      </w:r>
      <w:r w:rsidR="00A861BE" w:rsidRPr="00A861BE">
        <w:rPr>
          <w:b/>
          <w:u w:val="single"/>
        </w:rPr>
        <w:t xml:space="preserve"> </w:t>
      </w:r>
      <w:r w:rsidR="00995CE4">
        <w:t xml:space="preserve"> </w:t>
      </w:r>
      <w:r w:rsidR="00995CE4" w:rsidRPr="00995CE4">
        <w:rPr>
          <w:rFonts w:ascii="Arial" w:hAnsi="Arial" w:cs="Arial"/>
          <w:color w:val="222222"/>
          <w:sz w:val="21"/>
          <w:szCs w:val="21"/>
        </w:rPr>
        <w:t>A </w:t>
      </w:r>
      <w:r w:rsidR="00995CE4" w:rsidRPr="00995CE4">
        <w:rPr>
          <w:rFonts w:ascii="Arial" w:hAnsi="Arial" w:cs="Arial"/>
          <w:bCs/>
          <w:color w:val="222222"/>
          <w:sz w:val="21"/>
          <w:szCs w:val="21"/>
        </w:rPr>
        <w:t>bar chart</w:t>
      </w:r>
      <w:r w:rsidR="00995CE4" w:rsidRPr="00995CE4">
        <w:rPr>
          <w:rFonts w:ascii="Arial" w:hAnsi="Arial" w:cs="Arial"/>
          <w:color w:val="222222"/>
          <w:sz w:val="21"/>
          <w:szCs w:val="21"/>
        </w:rPr>
        <w:t> or </w:t>
      </w:r>
      <w:r w:rsidR="00995CE4" w:rsidRPr="00995CE4">
        <w:rPr>
          <w:rFonts w:ascii="Arial" w:hAnsi="Arial" w:cs="Arial"/>
          <w:bCs/>
          <w:color w:val="222222"/>
          <w:sz w:val="21"/>
          <w:szCs w:val="21"/>
        </w:rPr>
        <w:t>bar graph</w:t>
      </w:r>
      <w:r w:rsidR="00995CE4" w:rsidRPr="00995CE4">
        <w:rPr>
          <w:rFonts w:ascii="Arial" w:hAnsi="Arial" w:cs="Arial"/>
          <w:color w:val="222222"/>
          <w:sz w:val="21"/>
          <w:szCs w:val="21"/>
        </w:rPr>
        <w:t> is a chart or graph that presents categorical data with rectangular bars with heights or lengths</w:t>
      </w:r>
      <w:r w:rsidR="00995CE4">
        <w:rPr>
          <w:rFonts w:ascii="Arial" w:hAnsi="Arial" w:cs="Arial"/>
          <w:color w:val="222222"/>
          <w:sz w:val="21"/>
          <w:szCs w:val="21"/>
        </w:rPr>
        <w:t xml:space="preserve"> </w:t>
      </w:r>
      <w:r w:rsidR="00995CE4" w:rsidRPr="00995CE4">
        <w:rPr>
          <w:rFonts w:ascii="Arial" w:hAnsi="Arial" w:cs="Arial"/>
          <w:color w:val="222222"/>
          <w:sz w:val="21"/>
          <w:szCs w:val="21"/>
        </w:rPr>
        <w:t>proportional to the values that they represent. The bars can be plotted vertically or horizontally. A vertical bar chart is sometimes called a </w:t>
      </w:r>
      <w:r w:rsidR="00995CE4" w:rsidRPr="00995CE4">
        <w:rPr>
          <w:rFonts w:ascii="Arial" w:hAnsi="Arial" w:cs="Arial"/>
          <w:bCs/>
          <w:color w:val="222222"/>
          <w:sz w:val="21"/>
          <w:szCs w:val="21"/>
        </w:rPr>
        <w:t>line graph</w:t>
      </w:r>
      <w:r w:rsidR="00995CE4" w:rsidRPr="00995CE4">
        <w:rPr>
          <w:rFonts w:ascii="Arial" w:hAnsi="Arial" w:cs="Arial"/>
          <w:color w:val="222222"/>
          <w:sz w:val="21"/>
          <w:szCs w:val="21"/>
        </w:rPr>
        <w:t>.</w:t>
      </w:r>
    </w:p>
    <w:p w:rsidR="00995CE4" w:rsidRDefault="00414567" w:rsidP="00995CE4">
      <w:pPr>
        <w:pStyle w:val="ListParagraph"/>
        <w:tabs>
          <w:tab w:val="left" w:pos="1413"/>
        </w:tabs>
      </w:pPr>
      <w:r>
        <w:rPr>
          <w:noProof/>
        </w:rPr>
        <w:drawing>
          <wp:inline distT="0" distB="0" distL="0" distR="0">
            <wp:extent cx="4977130" cy="3571240"/>
            <wp:effectExtent l="0" t="0" r="0" b="0"/>
            <wp:docPr id="6" name="Picture 6" descr="C:\Users\JEPRSDD\Desktop\quiz 2\da assignment\Ba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PRSDD\Desktop\quiz 2\da assignment\Bar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Default="00414567" w:rsidP="00995CE4">
      <w:pPr>
        <w:pStyle w:val="ListParagraph"/>
        <w:tabs>
          <w:tab w:val="left" w:pos="1413"/>
        </w:tabs>
      </w:pPr>
    </w:p>
    <w:p w:rsidR="00414567" w:rsidRPr="00C75760" w:rsidRDefault="00414567" w:rsidP="00414567">
      <w:pPr>
        <w:pStyle w:val="ListParagraph"/>
        <w:numPr>
          <w:ilvl w:val="0"/>
          <w:numId w:val="1"/>
        </w:numPr>
        <w:tabs>
          <w:tab w:val="left" w:pos="1413"/>
        </w:tabs>
      </w:pPr>
      <w:r w:rsidRPr="00A861BE">
        <w:rPr>
          <w:b/>
          <w:u w:val="single"/>
        </w:rPr>
        <w:lastRenderedPageBreak/>
        <w:t>Histogram:</w:t>
      </w:r>
      <w:r w:rsidR="00A861BE">
        <w:t xml:space="preserve"> </w:t>
      </w:r>
      <w:r w:rsidRPr="00C75760">
        <w:t xml:space="preserve"> </w:t>
      </w:r>
      <w:r w:rsidR="00C75760" w:rsidRPr="00C75760">
        <w:t xml:space="preserve">A </w:t>
      </w:r>
      <w:r w:rsidR="00C75760" w:rsidRPr="00C757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histogram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accurate representation of the 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distribution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numerical data. It is an estimate of the 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probability distribution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 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continuous variable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(quantitative variable) and was first introduced by Karl Pearson.</w:t>
      </w:r>
      <w:hyperlink r:id="rId10" w:anchor="cite_note-pearson-1" w:history="1">
        <w:r w:rsidR="00C75760" w:rsidRPr="00C7576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differs from a 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bar graph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the sense that a bar graph relates two variables, but a histogram relates only one. To construct a histogram, the first step is to "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bin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" (or "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bucket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") the range of values—that is, divide the entire range of values into a series of intervals—and then count how many values fall into each interval. The bins are usually specified as consecutive, non-overlapping </w:t>
      </w:r>
      <w:r w:rsidR="00C75760" w:rsidRPr="00C75760">
        <w:rPr>
          <w:rFonts w:ascii="Arial" w:hAnsi="Arial" w:cs="Arial"/>
          <w:sz w:val="21"/>
          <w:szCs w:val="21"/>
          <w:shd w:val="clear" w:color="auto" w:fill="FFFFFF"/>
        </w:rPr>
        <w:t>intervals</w:t>
      </w:r>
      <w:r w:rsidR="00C75760" w:rsidRPr="00C757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 variable. The bins (intervals) must be adjacent, and are often (but are not required to be) of equal size.</w:t>
      </w:r>
    </w:p>
    <w:p w:rsidR="00C75760" w:rsidRDefault="00C75760" w:rsidP="00C75760">
      <w:pPr>
        <w:pStyle w:val="ListParagraph"/>
        <w:tabs>
          <w:tab w:val="left" w:pos="141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75760" w:rsidRDefault="00E25E94" w:rsidP="00C75760">
      <w:pPr>
        <w:pStyle w:val="ListParagraph"/>
        <w:tabs>
          <w:tab w:val="left" w:pos="1413"/>
        </w:tabs>
      </w:pPr>
      <w:r>
        <w:rPr>
          <w:noProof/>
        </w:rPr>
        <w:drawing>
          <wp:inline distT="0" distB="0" distL="0" distR="0">
            <wp:extent cx="5003165" cy="3571240"/>
            <wp:effectExtent l="0" t="0" r="6985" b="0"/>
            <wp:docPr id="7" name="Picture 7" descr="C:\Users\JEPRSDD\Desktop\quiz 2\da assignment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PRSDD\Desktop\quiz 2\da assignment\Histo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Default="00E25E94" w:rsidP="00C75760">
      <w:pPr>
        <w:pStyle w:val="ListParagraph"/>
        <w:tabs>
          <w:tab w:val="left" w:pos="1413"/>
        </w:tabs>
      </w:pPr>
    </w:p>
    <w:p w:rsidR="00E25E94" w:rsidRPr="00E47BEE" w:rsidRDefault="00E47BEE" w:rsidP="00E47BEE">
      <w:pPr>
        <w:pStyle w:val="ListParagraph"/>
        <w:numPr>
          <w:ilvl w:val="0"/>
          <w:numId w:val="1"/>
        </w:numPr>
        <w:tabs>
          <w:tab w:val="left" w:pos="1413"/>
        </w:tabs>
      </w:pPr>
      <w:r w:rsidRPr="00BA0AE2">
        <w:rPr>
          <w:b/>
          <w:u w:val="single"/>
        </w:rPr>
        <w:lastRenderedPageBreak/>
        <w:t xml:space="preserve">Scatter plot: </w:t>
      </w:r>
      <w:r w:rsidR="00BA0AE2">
        <w:t xml:space="preserve"> 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 plot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called a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scatterplot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 graph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 chart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gram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Pr="00E47B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scatter diagram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) is a type of </w:t>
      </w:r>
      <w:r w:rsidRPr="00E47BEE">
        <w:rPr>
          <w:rFonts w:ascii="Arial" w:hAnsi="Arial" w:cs="Arial"/>
          <w:sz w:val="21"/>
          <w:szCs w:val="21"/>
          <w:shd w:val="clear" w:color="auto" w:fill="FFFFFF"/>
        </w:rPr>
        <w:t>plot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 w:rsidRPr="00E47BEE">
        <w:rPr>
          <w:rFonts w:ascii="Arial" w:hAnsi="Arial" w:cs="Arial"/>
          <w:sz w:val="21"/>
          <w:szCs w:val="21"/>
          <w:shd w:val="clear" w:color="auto" w:fill="FFFFFF"/>
        </w:rPr>
        <w:t>mathematical diagram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 using </w:t>
      </w:r>
      <w:r w:rsidRPr="00E47BEE">
        <w:rPr>
          <w:rFonts w:ascii="Arial" w:hAnsi="Arial" w:cs="Arial"/>
          <w:sz w:val="21"/>
          <w:szCs w:val="21"/>
          <w:shd w:val="clear" w:color="auto" w:fill="FFFFFF"/>
        </w:rPr>
        <w:t>Cartesian coordinates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display values for typically two </w:t>
      </w:r>
      <w:r w:rsidRPr="00E47BEE">
        <w:rPr>
          <w:rFonts w:ascii="Arial" w:hAnsi="Arial" w:cs="Arial"/>
          <w:sz w:val="21"/>
          <w:szCs w:val="21"/>
          <w:shd w:val="clear" w:color="auto" w:fill="FFFFFF"/>
        </w:rPr>
        <w:t>variables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 set of data. If the points are color-coded, one additional variable can be displayed. The data are displayed as a collection of points, each having the value of one variable determining the position on the horizontal axis and the value of the other variable determining the position on the </w:t>
      </w:r>
      <w:r w:rsidRPr="00E47BEE">
        <w:rPr>
          <w:rFonts w:ascii="Arial" w:hAnsi="Arial" w:cs="Arial"/>
          <w:sz w:val="21"/>
          <w:szCs w:val="21"/>
          <w:shd w:val="clear" w:color="auto" w:fill="FFFFFF"/>
        </w:rPr>
        <w:t>vertical axis</w:t>
      </w:r>
      <w:r w:rsidRPr="00E47BE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47BEE" w:rsidRDefault="00E47BEE" w:rsidP="00E47BEE">
      <w:pPr>
        <w:pStyle w:val="ListParagraph"/>
        <w:tabs>
          <w:tab w:val="left" w:pos="141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47BEE" w:rsidRPr="00995CE4" w:rsidRDefault="00E47BEE" w:rsidP="00E47BEE">
      <w:pPr>
        <w:pStyle w:val="ListParagraph"/>
        <w:tabs>
          <w:tab w:val="left" w:pos="1413"/>
        </w:tabs>
      </w:pPr>
      <w:r>
        <w:rPr>
          <w:noProof/>
        </w:rPr>
        <w:drawing>
          <wp:inline distT="0" distB="0" distL="0" distR="0">
            <wp:extent cx="4977130" cy="3571240"/>
            <wp:effectExtent l="0" t="0" r="0" b="0"/>
            <wp:docPr id="8" name="Picture 8" descr="C:\Users\JEPRSDD\Desktop\quiz 2\da assignment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PRSDD\Desktop\quiz 2\da assignment\Scatter_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BEE" w:rsidRPr="0099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45D4A"/>
    <w:multiLevelType w:val="hybridMultilevel"/>
    <w:tmpl w:val="0C24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AA"/>
    <w:rsid w:val="001E2447"/>
    <w:rsid w:val="00363A45"/>
    <w:rsid w:val="00414567"/>
    <w:rsid w:val="0042195A"/>
    <w:rsid w:val="004D5BC2"/>
    <w:rsid w:val="005075B8"/>
    <w:rsid w:val="006665DF"/>
    <w:rsid w:val="007E64AA"/>
    <w:rsid w:val="00810B90"/>
    <w:rsid w:val="008807B9"/>
    <w:rsid w:val="009802BB"/>
    <w:rsid w:val="00995CE4"/>
    <w:rsid w:val="00A17653"/>
    <w:rsid w:val="00A861BE"/>
    <w:rsid w:val="00AD5B46"/>
    <w:rsid w:val="00BA0AE2"/>
    <w:rsid w:val="00C02616"/>
    <w:rsid w:val="00C75760"/>
    <w:rsid w:val="00CE2B12"/>
    <w:rsid w:val="00DF249F"/>
    <w:rsid w:val="00E12CF1"/>
    <w:rsid w:val="00E25E94"/>
    <w:rsid w:val="00E370B2"/>
    <w:rsid w:val="00E47BEE"/>
    <w:rsid w:val="00F33D05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7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7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5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2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isto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JEPRSDD</dc:creator>
  <cp:keywords/>
  <dc:description/>
  <cp:lastModifiedBy>JEPRSDD</cp:lastModifiedBy>
  <cp:revision>23</cp:revision>
  <dcterms:created xsi:type="dcterms:W3CDTF">2018-10-10T18:53:00Z</dcterms:created>
  <dcterms:modified xsi:type="dcterms:W3CDTF">2018-10-10T20:12:00Z</dcterms:modified>
</cp:coreProperties>
</file>