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 is recommended that Botium Toys’ incorporates controls such as Least Privilege; disaster recovery plans; password policies; separation of duties; an intrusion detection system (IDS); backups; manual monitoring, maintenance, and intervention for legacy systems; encryption; and a password management system.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 for compliance practices, Botium Toys should incorporate a separation of duties; secure sensitive data (such as PII/SPII) using encryption; adopt secure password management policies; classify current assets; and Least Privilege. Implementing these controls and practices will improve Botium Toys’ security posture and protect the confidentiality of high risk assets.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